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41" w:rsidRPr="00C22141" w:rsidRDefault="00C22141" w:rsidP="006333FA">
      <w:pPr>
        <w:pStyle w:val="1"/>
        <w:rPr>
          <w:rFonts w:eastAsia="Times New Roman"/>
          <w:sz w:val="19"/>
          <w:szCs w:val="19"/>
        </w:rPr>
      </w:pPr>
      <w:r w:rsidRPr="00C22141">
        <w:rPr>
          <w:rFonts w:eastAsia="Times New Roman"/>
        </w:rPr>
        <w:t> </w:t>
      </w:r>
    </w:p>
    <w:p w:rsidR="006333FA" w:rsidRDefault="006333FA" w:rsidP="006333FA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33FA" w:rsidRDefault="006333FA" w:rsidP="006333F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БАРТЕНЕВСКОГО МУНИЦИПАЛЬНОГО ОБРАЗОВАНИЯ ИВАНТЕЕВСКОГО МУНИЦИПАЛЬНОГО РАЙОНА </w:t>
      </w:r>
    </w:p>
    <w:p w:rsidR="006333FA" w:rsidRDefault="006333FA" w:rsidP="006333F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96486" w:rsidRDefault="00C22141" w:rsidP="00C2214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096486" w:rsidRDefault="00096486" w:rsidP="00C2214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2141" w:rsidRPr="006333FA" w:rsidRDefault="00096486" w:rsidP="0009648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96486">
        <w:rPr>
          <w:rFonts w:ascii="Times New Roman" w:hAnsi="Times New Roman" w:cs="Times New Roman"/>
          <w:sz w:val="28"/>
          <w:szCs w:val="28"/>
        </w:rPr>
        <w:t xml:space="preserve">от«23» июня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Pr="00096486">
        <w:rPr>
          <w:rFonts w:ascii="Times New Roman" w:hAnsi="Times New Roman" w:cs="Times New Roman"/>
          <w:sz w:val="28"/>
          <w:szCs w:val="28"/>
        </w:rPr>
        <w:t>    </w:t>
      </w:r>
      <w:r w:rsidRPr="0063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№45                               с. Бартеневка</w:t>
      </w:r>
    </w:p>
    <w:p w:rsidR="00C22141" w:rsidRPr="006333FA" w:rsidRDefault="00C22141" w:rsidP="00C2214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633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096486" w:rsidRDefault="00C22141" w:rsidP="0009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форм отчетности и пороговых </w:t>
      </w:r>
    </w:p>
    <w:p w:rsidR="00C22141" w:rsidRPr="00096486" w:rsidRDefault="00C22141" w:rsidP="0009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значений показателей эффективности использования </w:t>
      </w:r>
      <w:r w:rsidR="00096486"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</w:t>
      </w:r>
      <w:r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96486"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Бартеневского муниципального образования</w:t>
      </w:r>
    </w:p>
    <w:p w:rsidR="00096486" w:rsidRPr="00096486" w:rsidRDefault="00096486" w:rsidP="0009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 Саратовской области</w:t>
      </w:r>
    </w:p>
    <w:p w:rsidR="00C22141" w:rsidRPr="00096486" w:rsidRDefault="00C22141" w:rsidP="00096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964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41" w:rsidRPr="00096486" w:rsidRDefault="00C22141" w:rsidP="00096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9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 06 октября 2003 года № 131-ФЗ «Об общих принципах организации местного самоуправления в Российской Федерации», распоряжением Правительства РФ от 12.10.2020 г. 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им», руководствуясь </w:t>
      </w:r>
      <w:hyperlink r:id="rId5" w:tgtFrame="_blank" w:history="1">
        <w:r w:rsidRPr="00C22141">
          <w:rPr>
            <w:rFonts w:ascii="Times New Roman" w:eastAsia="Times New Roman" w:hAnsi="Times New Roman" w:cs="Times New Roman"/>
            <w:color w:val="0000FF"/>
            <w:sz w:val="28"/>
          </w:rPr>
          <w:t>Уставом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648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образования </w:t>
      </w:r>
      <w:r w:rsidR="00096486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Саратовской области, администрация </w:t>
      </w:r>
      <w:r w:rsidR="00096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96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Ивантеевского</w:t>
      </w:r>
      <w:proofErr w:type="gramEnd"/>
      <w:r w:rsidR="00096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 Саратовской области</w:t>
      </w:r>
    </w:p>
    <w:p w:rsidR="00C22141" w:rsidRPr="00C22141" w:rsidRDefault="00C22141" w:rsidP="00C221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Установить формы отчетности и пороговые значения показателей эффективности использования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имущества Бартеневского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образования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Ивантеевского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Саратовской области согласно приложению к настоящему постановлению.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      Настоящее постановление обнародовать «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202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специально выделенных местах обнародования и разместить на официальном сайте администрации 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образования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в сети «Интернет».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официального обнародования.</w:t>
      </w:r>
    </w:p>
    <w:p w:rsidR="00C22141" w:rsidRPr="00C22141" w:rsidRDefault="00C22141" w:rsidP="00C22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C22141" w:rsidRPr="00C22141" w:rsidRDefault="00C22141" w:rsidP="00EA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</w:t>
      </w:r>
      <w:r w:rsidR="00EA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Бартеневского</w:t>
      </w:r>
    </w:p>
    <w:p w:rsidR="00C22141" w:rsidRPr="00C22141" w:rsidRDefault="00C22141" w:rsidP="00EA55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                                                        </w:t>
      </w:r>
      <w:proofErr w:type="spellStart"/>
      <w:r w:rsidR="00EA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Р.Е.Скипа</w:t>
      </w:r>
      <w:proofErr w:type="spellEnd"/>
    </w:p>
    <w:p w:rsidR="00C22141" w:rsidRPr="00C22141" w:rsidRDefault="00C22141" w:rsidP="00C221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214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22141" w:rsidRPr="00C22141" w:rsidRDefault="00C22141" w:rsidP="00C2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41">
        <w:rPr>
          <w:rFonts w:ascii="Arial" w:eastAsia="Times New Roman" w:hAnsi="Arial" w:cs="Arial"/>
          <w:color w:val="000000"/>
          <w:sz w:val="19"/>
          <w:szCs w:val="19"/>
        </w:rPr>
        <w:lastRenderedPageBreak/>
        <w:br w:type="textWrapping" w:clear="all"/>
      </w:r>
    </w:p>
    <w:p w:rsidR="00C22141" w:rsidRPr="00C22141" w:rsidRDefault="00C22141" w:rsidP="00C22141">
      <w:pPr>
        <w:spacing w:after="0" w:line="325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21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к постановлению</w:t>
      </w:r>
    </w:p>
    <w:p w:rsidR="00C22141" w:rsidRPr="00C22141" w:rsidRDefault="00C22141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 </w:t>
      </w:r>
      <w:r w:rsidR="00EA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Бартеневского</w:t>
      </w:r>
    </w:p>
    <w:p w:rsidR="00C22141" w:rsidRPr="00C22141" w:rsidRDefault="00C22141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EA5510" w:rsidRDefault="00EA5510" w:rsidP="00C22141">
      <w:pPr>
        <w:spacing w:after="0" w:line="240" w:lineRule="auto"/>
        <w:ind w:left="4248"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Ивантеевского 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22141" w:rsidRPr="00C22141" w:rsidRDefault="00EA5510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C22141" w:rsidRPr="00C22141" w:rsidRDefault="00EA5510" w:rsidP="00C22141">
      <w:pPr>
        <w:spacing w:after="0" w:line="240" w:lineRule="auto"/>
        <w:ind w:left="4248" w:firstLine="45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«23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г. № 45</w:t>
      </w:r>
    </w:p>
    <w:p w:rsidR="00C22141" w:rsidRPr="00C22141" w:rsidRDefault="00C22141" w:rsidP="00C22141">
      <w:pPr>
        <w:spacing w:after="0" w:line="240" w:lineRule="auto"/>
        <w:ind w:left="4248" w:firstLine="454"/>
        <w:jc w:val="right"/>
        <w:rPr>
          <w:rFonts w:ascii="Calibri" w:eastAsia="Times New Roman" w:hAnsi="Calibri" w:cs="Arial"/>
          <w:color w:val="000000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форм отчетности и пороговых значений показателей эффективности использования </w:t>
      </w:r>
      <w:r w:rsidR="00EA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Бартеневского</w:t>
      </w: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муниципального образования </w:t>
      </w:r>
      <w:r w:rsidR="00EA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Ивантеевского</w:t>
      </w: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 Саратовской области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  положения</w:t>
      </w:r>
    </w:p>
    <w:p w:rsidR="00C22141" w:rsidRPr="00C22141" w:rsidRDefault="00C22141" w:rsidP="00C22141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Администрация 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образования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(далее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образования) при управлении и распоряжении муниципальным имуществом должна руководствоваться распоряжением Правительство Российской Федерации от 12 октября 2020 г. № 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  и ежегодно, до 15 июля года, следующего за отчетным, размещать в системе «Управление» отчетность об эффективности управления и распоряжения муниципальным имуществом по </w:t>
      </w:r>
      <w:hyperlink r:id="rId6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формам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предусмотренным данным постановлением.</w:t>
      </w:r>
    </w:p>
    <w:p w:rsidR="00C22141" w:rsidRPr="00C22141" w:rsidRDefault="00C22141" w:rsidP="00C22141">
      <w:pPr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1.2. Администрация 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образования, осуществляющая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 w:rsidR="00C22141" w:rsidRPr="00C22141" w:rsidRDefault="00C22141" w:rsidP="00C22141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Формы отчетности и пороговых значений показателей эффективности использования </w:t>
      </w:r>
      <w:r w:rsidR="00EA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C22141" w:rsidRPr="00C22141" w:rsidRDefault="00EA5510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Бартеневского</w:t>
      </w:r>
      <w:r w:rsidR="00C22141" w:rsidRPr="00C2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муниципального образования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Анализ эффективности использования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 осуществляется по следующим показателям эффективности: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эффективности передачи на безвозмездной основе объектов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 публично-правового образования в целях имущественной поддержки некоммерческим организациям - по форме отчетности, предусмотренной </w:t>
      </w:r>
      <w:hyperlink r:id="rId7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таблицей 1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</w:rPr>
        <w:lastRenderedPageBreak/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показатели, характеризующие эффективность управления и распоряжения объектами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публично-правового 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 </w:t>
      </w:r>
      <w:hyperlink r:id="rId8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таблицей 2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эффективность управления и распоряжения земельными участками, - по форме отчетности, предусмотренной </w:t>
      </w:r>
      <w:hyperlink r:id="rId9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таблицей 3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приложения к настоящей методике;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Vrinda" w:eastAsia="Times New Roman" w:hAnsi="Vrinda" w:cs="Vrinda"/>
          <w:color w:val="000000"/>
          <w:sz w:val="28"/>
          <w:szCs w:val="28"/>
        </w:rPr>
        <w:t>-</w:t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просроченной более чем на 3 квартала задолженности по договорам аренды объектов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 </w:t>
      </w:r>
      <w:hyperlink r:id="rId10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публично-правового образования;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 w:rsidR="00C22141" w:rsidRPr="00C22141" w:rsidRDefault="00C22141" w:rsidP="00C22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E"/>
      </w:r>
      <w:r w:rsidRPr="00C221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доля объектов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вовлеченных в коммерческий оборот в рамках концессионных соглашений, соглашений о государственно-частном (</w:t>
      </w:r>
      <w:proofErr w:type="spell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-частном) партнерстве, инвестиционных договоров, в общем количестве объектов </w:t>
      </w:r>
      <w:r w:rsidR="00EA55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находящихся в собственности публично-правового образования на конец отчетного года.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Отчетность составляется по каждому объекту 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имущества 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 на основе данных бюджетной отчетности.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Оценка </w:t>
      </w:r>
      <w:proofErr w:type="gram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эффективности использования объектов 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</w:t>
      </w:r>
      <w:proofErr w:type="gram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 осуществляется администрацией 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образования. При </w:t>
      </w:r>
      <w:proofErr w:type="spellStart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пороговых значений показателей эффективности администрация 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муниципального образования осуществляет подготовку плана повышения эффективности управления и распоряжения 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муниципальным имуществом Бартеневского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 с указанием конкретных объектов, по которым в плановом периоде может предусматриваться: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взыскание задолженности;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вовлечение в инфраструктурные проекты и отношения, связанные с инвестиционной деятельностью;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закрепление за органами местного самоуправления;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д) передача на иной уровень публичной собственности;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е) мероприятия по предоставлению земельных участков в соответствии с Земельным </w:t>
      </w:r>
      <w:hyperlink r:id="rId11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кодексом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ж) реализация земельных участков в соответствии с Земельным </w:t>
      </w:r>
      <w:hyperlink r:id="rId12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кодексом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з) приватизация.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Анализ эффективности приватизации 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</w:t>
      </w:r>
      <w:r w:rsidR="003B26B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образования осуществляется по показателям по форме отчетности, предусмотренной </w:t>
      </w:r>
      <w:hyperlink r:id="rId13" w:history="1">
        <w:r w:rsidRPr="00C22141">
          <w:rPr>
            <w:rFonts w:ascii="Times New Roman" w:eastAsia="Times New Roman" w:hAnsi="Times New Roman" w:cs="Times New Roman"/>
            <w:color w:val="000000"/>
            <w:sz w:val="28"/>
          </w:rPr>
          <w:t>таблицей 4</w:t>
        </w:r>
      </w:hyperlink>
      <w:r w:rsidRPr="00C221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приложения к настоящей методике.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C22141" w:rsidRPr="00C22141" w:rsidRDefault="00C22141" w:rsidP="00C2214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Таблица 1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Par734"/>
      <w:bookmarkEnd w:id="0"/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по показателям эффективности передачи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 xml:space="preserve">на безвозмездной основе объектов </w:t>
      </w:r>
      <w:r w:rsidR="003B26BC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муниципального </w:t>
      </w:r>
      <w:r w:rsidRPr="00C22141">
        <w:rPr>
          <w:rFonts w:ascii="Times New Roman" w:eastAsia="Times New Roman" w:hAnsi="Times New Roman" w:cs="Times New Roman"/>
          <w:b/>
          <w:bCs/>
          <w:color w:val="000000"/>
        </w:rPr>
        <w:t xml:space="preserve"> имущества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 xml:space="preserve">публично-правового образования в целях </w:t>
      </w:r>
      <w:proofErr w:type="gramStart"/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имущественной</w:t>
      </w:r>
      <w:proofErr w:type="gramEnd"/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поддержки некоммерческим организациям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650"/>
        <w:gridCol w:w="1325"/>
        <w:gridCol w:w="1322"/>
        <w:gridCol w:w="18"/>
      </w:tblGrid>
      <w:tr w:rsidR="00C22141" w:rsidRPr="00C22141" w:rsidTr="00C22141">
        <w:tc>
          <w:tcPr>
            <w:tcW w:w="552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 </w:t>
            </w:r>
            <w:hyperlink r:id="rId14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нарушения выявлены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б) нарушения не выявлены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от 0 до 75% (включительно)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б) более 75% (равно либо отсутствие нарушений)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Таблица 2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1" w:name="Par789"/>
      <w:bookmarkEnd w:id="1"/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по показателям, характеризующим эффективность управления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 xml:space="preserve">и распоряжения объектами </w:t>
      </w:r>
      <w:r w:rsidR="003B26BC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муниципального </w:t>
      </w:r>
      <w:r w:rsidRPr="00C22141">
        <w:rPr>
          <w:rFonts w:ascii="Times New Roman" w:eastAsia="Times New Roman" w:hAnsi="Times New Roman" w:cs="Times New Roman"/>
          <w:b/>
          <w:bCs/>
          <w:color w:val="000000"/>
        </w:rPr>
        <w:t xml:space="preserve"> имущества 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публично-правового образования, которые включены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в перечни имущества, предоставляемого субъектам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малого и среднего предпринимательства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1757"/>
        <w:gridCol w:w="1341"/>
        <w:gridCol w:w="1474"/>
        <w:gridCol w:w="20"/>
      </w:tblGrid>
      <w:tr w:rsidR="00C22141" w:rsidRPr="00C22141" w:rsidTr="00C22141">
        <w:tc>
          <w:tcPr>
            <w:tcW w:w="447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 </w:t>
            </w:r>
            <w:hyperlink r:id="rId15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Количество проведенных в течение года торгов в отношении каждого объекта казны публично-правового образования </w:t>
            </w:r>
            <w:hyperlink r:id="rId16" w:anchor="Par836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торги не проводились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C22141">
              <w:rPr>
                <w:rFonts w:ascii="Times New Roman" w:eastAsia="Times New Roman" w:hAnsi="Times New Roman" w:cs="Times New Roman"/>
              </w:rPr>
              <w:t>подана ни одна заявка/подана</w:t>
            </w:r>
            <w:proofErr w:type="gramEnd"/>
            <w:r w:rsidRPr="00C22141">
              <w:rPr>
                <w:rFonts w:ascii="Times New Roman" w:eastAsia="Times New Roman" w:hAnsi="Times New Roman" w:cs="Times New Roman"/>
              </w:rPr>
              <w:t xml:space="preserve"> одна заявка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2" w:name="Par836"/>
      <w:bookmarkEnd w:id="2"/>
      <w:r w:rsidRPr="00C22141">
        <w:rPr>
          <w:rFonts w:ascii="Times New Roman" w:eastAsia="Times New Roman" w:hAnsi="Times New Roman" w:cs="Times New Roman"/>
          <w:color w:val="000000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Таблица 3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3" w:name="Par842"/>
      <w:bookmarkEnd w:id="3"/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по показателям, характеризующим эффективность управления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и распоряжения земельными участками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1757"/>
        <w:gridCol w:w="1341"/>
        <w:gridCol w:w="1474"/>
        <w:gridCol w:w="20"/>
      </w:tblGrid>
      <w:tr w:rsidR="00C22141" w:rsidRPr="00C22141" w:rsidTr="00C22141">
        <w:tc>
          <w:tcPr>
            <w:tcW w:w="447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 </w:t>
            </w:r>
            <w:hyperlink r:id="rId17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ОКТМО</w:t>
              </w:r>
            </w:hyperlink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Показатель 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Процент сокращения площади з</w:t>
            </w:r>
            <w:r w:rsidR="003B26BC">
              <w:rPr>
                <w:rFonts w:ascii="Times New Roman" w:eastAsia="Times New Roman" w:hAnsi="Times New Roman" w:cs="Times New Roman"/>
              </w:rPr>
              <w:t>емельных участков муниципального имущества</w:t>
            </w:r>
            <w:r w:rsidRPr="00C22141">
              <w:rPr>
                <w:rFonts w:ascii="Times New Roman" w:eastAsia="Times New Roman" w:hAnsi="Times New Roman" w:cs="Times New Roman"/>
              </w:rPr>
              <w:t xml:space="preserve">, не вовлеченных в хозяйственный оборот, по отношению к </w:t>
            </w:r>
            <w:r w:rsidRPr="00C22141">
              <w:rPr>
                <w:rFonts w:ascii="Times New Roman" w:eastAsia="Times New Roman" w:hAnsi="Times New Roman" w:cs="Times New Roman"/>
              </w:rPr>
              <w:lastRenderedPageBreak/>
              <w:t xml:space="preserve">площади земельных участков </w:t>
            </w:r>
            <w:r w:rsidR="003B26BC">
              <w:rPr>
                <w:rFonts w:ascii="Times New Roman" w:eastAsia="Times New Roman" w:hAnsi="Times New Roman" w:cs="Times New Roman"/>
              </w:rPr>
              <w:t>муниципального имущества</w:t>
            </w:r>
            <w:r w:rsidRPr="00C22141">
              <w:rPr>
                <w:rFonts w:ascii="Times New Roman" w:eastAsia="Times New Roman" w:hAnsi="Times New Roman" w:cs="Times New Roman"/>
              </w:rPr>
              <w:t xml:space="preserve"> в 2012 году (за исключением земельных участков, изъятых из оборота и ограниченных в обороте) </w:t>
            </w:r>
            <w:hyperlink r:id="rId18" w:anchor="Par893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&lt;2&gt;</w:t>
              </w:r>
            </w:hyperlink>
            <w:r w:rsidRPr="00C2214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Площадь земельных участков, находящихся в государственной (муниципальной) собственности, в отношении которых сформированы и уточнены границы, а также внесены сведения в Единый государственный реестр недвижимости </w:t>
            </w:r>
            <w:hyperlink r:id="rId19" w:anchor="Par893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&lt;2&gt;</w:t>
              </w:r>
            </w:hyperlink>
            <w:r w:rsidRPr="00C22141">
              <w:rPr>
                <w:rFonts w:ascii="Times New Roman" w:eastAsia="Times New Roman" w:hAnsi="Times New Roman" w:cs="Times New Roman"/>
              </w:rPr>
              <w:t> (га):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4" w:name="Par892"/>
      <w:bookmarkStart w:id="5" w:name="Par893"/>
      <w:bookmarkEnd w:id="4"/>
      <w:bookmarkEnd w:id="5"/>
      <w:r w:rsidRPr="00C22141">
        <w:rPr>
          <w:rFonts w:ascii="Times New Roman" w:eastAsia="Times New Roman" w:hAnsi="Times New Roman" w:cs="Times New Roman"/>
          <w:color w:val="000000"/>
        </w:rPr>
        <w:t>&lt;2&gt; Органам местного самоуправления рекомендуется установить значение показателя.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Таблица 4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6" w:name="Par899"/>
      <w:bookmarkEnd w:id="6"/>
      <w:r w:rsidRPr="00C22141">
        <w:rPr>
          <w:rFonts w:ascii="Times New Roman" w:eastAsia="Times New Roman" w:hAnsi="Times New Roman" w:cs="Times New Roman"/>
          <w:b/>
          <w:bCs/>
          <w:color w:val="000000"/>
        </w:rPr>
        <w:t>ФОРМА ОТЧЕТНОСТИ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по показателям, характеризующим эффективность приватизации</w:t>
      </w:r>
    </w:p>
    <w:p w:rsidR="00C22141" w:rsidRPr="00C22141" w:rsidRDefault="00C22141" w:rsidP="00C22141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 xml:space="preserve">объектов муниципального имущества </w:t>
      </w:r>
      <w:bookmarkStart w:id="7" w:name="_GoBack"/>
      <w:bookmarkEnd w:id="7"/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020"/>
        <w:gridCol w:w="1474"/>
        <w:gridCol w:w="654"/>
        <w:gridCol w:w="20"/>
      </w:tblGrid>
      <w:tr w:rsidR="00C22141" w:rsidRPr="00C22141" w:rsidTr="00C22141">
        <w:tc>
          <w:tcPr>
            <w:tcW w:w="5839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 1 ________________ 20__ г.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Коды</w:t>
            </w:r>
          </w:p>
        </w:tc>
        <w:tc>
          <w:tcPr>
            <w:tcW w:w="65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Наименование бюджета ППО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по </w:t>
            </w:r>
            <w:hyperlink r:id="rId20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ОКТМО</w:t>
              </w:r>
            </w:hyperlink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годовая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917"/>
        <w:gridCol w:w="1566"/>
      </w:tblGrid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C22141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End"/>
            <w:r w:rsidRPr="00C2214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lastRenderedPageBreak/>
              <w:t>Параметры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 xml:space="preserve">Показатели </w:t>
            </w:r>
            <w:r w:rsidRPr="00C22141">
              <w:rPr>
                <w:rFonts w:ascii="Times New Roman" w:eastAsia="Times New Roman" w:hAnsi="Times New Roman" w:cs="Times New Roman"/>
              </w:rPr>
              <w:lastRenderedPageBreak/>
              <w:t>эффективности (баллов)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Доля продаж пакетов акций акционерных обществ, подлежащих продаже в соответствии с прогнозным планом (программой) приватизации </w:t>
            </w:r>
            <w:hyperlink r:id="rId21" w:anchor="Par949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Доля продаж объектов имущества муниципальной казны, подлежащих продаже в соответствии с прогнозным планом (программой) приватизации (за исключением пакетов акций акционерных обществ) </w:t>
            </w:r>
            <w:hyperlink r:id="rId22" w:anchor="Par949" w:history="1">
              <w:r w:rsidRPr="00C22141">
                <w:rPr>
                  <w:rFonts w:ascii="Times New Roman" w:eastAsia="Times New Roman" w:hAnsi="Times New Roman" w:cs="Times New Roman"/>
                  <w:color w:val="000000"/>
                </w:rPr>
                <w:t>&lt;1&gt;</w:t>
              </w:r>
            </w:hyperlink>
            <w:r w:rsidRPr="00C2214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2141" w:rsidRPr="00C22141" w:rsidTr="00C2214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C22141" w:rsidRPr="00C22141" w:rsidTr="00C22141">
        <w:tc>
          <w:tcPr>
            <w:tcW w:w="7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2141" w:rsidRPr="00C22141" w:rsidRDefault="00C22141" w:rsidP="00C22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214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--------------------------------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8" w:name="Par949"/>
      <w:bookmarkEnd w:id="8"/>
      <w:r w:rsidRPr="00C22141">
        <w:rPr>
          <w:rFonts w:ascii="Times New Roman" w:eastAsia="Times New Roman" w:hAnsi="Times New Roman" w:cs="Times New Roman"/>
          <w:color w:val="000000"/>
        </w:rPr>
        <w:t>&lt;1&gt; Органам местного самоуправления рекомендуется установить значение показателя.</w:t>
      </w:r>
    </w:p>
    <w:p w:rsidR="00C22141" w:rsidRPr="00C22141" w:rsidRDefault="00C22141" w:rsidP="00C22141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C22141">
        <w:rPr>
          <w:rFonts w:ascii="Times New Roman" w:eastAsia="Times New Roman" w:hAnsi="Times New Roman" w:cs="Times New Roman"/>
          <w:color w:val="000000"/>
        </w:rPr>
        <w:t> </w:t>
      </w:r>
    </w:p>
    <w:p w:rsidR="009B5400" w:rsidRDefault="009B5400"/>
    <w:sectPr w:rsidR="009B5400" w:rsidSect="009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41"/>
    <w:rsid w:val="00096486"/>
    <w:rsid w:val="003B26BC"/>
    <w:rsid w:val="006333FA"/>
    <w:rsid w:val="009B5400"/>
    <w:rsid w:val="00C22141"/>
    <w:rsid w:val="00E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">
    <w:name w:val="normal0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22141"/>
  </w:style>
  <w:style w:type="paragraph" w:customStyle="1" w:styleId="12">
    <w:name w:val="Ниж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96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">
    <w:name w:val="normal0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22141"/>
  </w:style>
  <w:style w:type="paragraph" w:customStyle="1" w:styleId="12">
    <w:name w:val="Ниж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0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3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96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://rnla-service.scli.ru:8080/rnla-links/ws/content/act/" TargetMode="External"/><Relationship Id="rId18" Type="http://schemas.openxmlformats.org/officeDocument/2006/relationships/hyperlink" Target="http://pravo-search.minjust.ru:8080/bigs/por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hyperlink" Target="http://rnla-service.scli.ru:8080/rnla-links/ws/content/ac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hyperlink" Target="http://rnla-service.scli.ru:8080/rnla-links/ws/content/act/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C1252312-C8EE-43A1-9D48-288665E3700E" TargetMode="External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dcterms:created xsi:type="dcterms:W3CDTF">2021-06-28T14:22:00Z</dcterms:created>
  <dcterms:modified xsi:type="dcterms:W3CDTF">2021-06-28T14:22:00Z</dcterms:modified>
</cp:coreProperties>
</file>