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44" w:type="dxa"/>
        <w:tblBorders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АДМИНИСТРАЦИЯ</w:t>
            </w:r>
          </w:p>
          <w:p>
            <w:pPr>
              <w:pStyle w:val="NoSpacing"/>
              <w:jc w:val="center"/>
              <w:rPr/>
            </w:pPr>
            <w:r>
              <w:rPr>
                <w:b/>
              </w:rPr>
              <w:t>БАРТЕНЕВСКОГО МУНИЦИПАЛЬНОГО ОБРАЗОВАНИЯ</w:t>
            </w:r>
          </w:p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ИВАНТЕЕВСКОГО МУНИЦИПАЛЬНОГО РАЙОНА</w:t>
            </w:r>
          </w:p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САРАТОВСКОЙ ОБЛАСТИ</w:t>
            </w:r>
          </w:p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14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ПОСТАНОВЛЕНИЕ</w:t>
            </w:r>
          </w:p>
          <w:p>
            <w:pPr>
              <w:pStyle w:val="Style14"/>
              <w:rPr/>
            </w:pPr>
            <w:r>
              <w:rPr>
                <w:rFonts w:cs="Times New Roman"/>
                <w:b/>
                <w:bCs/>
              </w:rPr>
              <w:t xml:space="preserve">От 24.03.2021 г.                                               №     13                            </w:t>
            </w:r>
            <w:r>
              <w:rPr>
                <w:rFonts w:cs="Times New Roman"/>
                <w:bCs/>
              </w:rPr>
              <w:t>с. Бартеневка</w:t>
            </w:r>
          </w:p>
          <w:p>
            <w:pPr>
              <w:pStyle w:val="Style14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</w:r>
          </w:p>
          <w:p>
            <w:pPr>
              <w:pStyle w:val="Normal"/>
              <w:shd w:val="clear" w:color="auto" w:fill="FFFFFF"/>
              <w:ind w:right="2727" w:hanging="0"/>
              <w:jc w:val="both"/>
              <w:rPr>
                <w:rFonts w:eastAsia="Calibri" w:cs="Times New Roman"/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Об утверждении перечня первичных </w:t>
            </w:r>
          </w:p>
          <w:p>
            <w:pPr>
              <w:pStyle w:val="Normal"/>
              <w:shd w:val="clear" w:color="auto" w:fill="FFFFFF"/>
              <w:ind w:right="2727" w:hanging="0"/>
              <w:jc w:val="both"/>
              <w:rPr>
                <w:rFonts w:eastAsia="Calibri" w:cs="Times New Roman"/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средств пожаротушения и противопожарного </w:t>
            </w:r>
          </w:p>
          <w:p>
            <w:pPr>
              <w:pStyle w:val="Normal"/>
              <w:shd w:val="clear" w:color="auto" w:fill="FFFFFF"/>
              <w:ind w:right="2727" w:hanging="0"/>
              <w:jc w:val="both"/>
              <w:rPr>
                <w:rFonts w:eastAsia="Calibri" w:cs="Times New Roman"/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инвентаря в помещениях и строениях, </w:t>
            </w:r>
          </w:p>
          <w:p>
            <w:pPr>
              <w:pStyle w:val="Normal"/>
              <w:shd w:val="clear" w:color="auto" w:fill="FFFFFF"/>
              <w:ind w:right="2727" w:hanging="0"/>
              <w:jc w:val="both"/>
              <w:rPr>
                <w:rFonts w:eastAsia="Calibri" w:cs="Times New Roman"/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находящихся в собственности (пользовании) граждан, </w:t>
            </w:r>
          </w:p>
          <w:p>
            <w:pPr>
              <w:pStyle w:val="Normal"/>
              <w:shd w:val="clear" w:color="auto" w:fill="FFFFFF"/>
              <w:ind w:right="2727" w:hanging="0"/>
              <w:jc w:val="both"/>
              <w:rPr/>
            </w:pPr>
            <w:r>
              <w:rPr>
                <w:rFonts w:eastAsia="Calibri" w:cs="Times New Roman"/>
                <w:b/>
                <w:bCs/>
              </w:rPr>
              <w:t xml:space="preserve">на территории Бартеневского  муниципального образования </w:t>
            </w:r>
          </w:p>
          <w:p>
            <w:pPr>
              <w:pStyle w:val="Normal"/>
              <w:shd w:val="clear" w:color="auto" w:fill="FFFFFF"/>
              <w:ind w:right="2727" w:hanging="0"/>
              <w:jc w:val="both"/>
              <w:rPr>
                <w:rFonts w:eastAsia="Calibri" w:cs="Times New Roman"/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</w:r>
          </w:p>
          <w:p>
            <w:pPr>
              <w:pStyle w:val="Normal"/>
              <w:shd w:val="clear" w:color="auto" w:fill="FFFFFF"/>
              <w:ind w:right="2727" w:hanging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cs="Times New Roman"/>
              </w:rPr>
      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69-ФЗ «О пожарной безопасности», Правилами противопожарного режима в Российской Федерации (утверждёнными постановлением Правительства Российской Федерации от 25 апреля 2012г. №390 «О противопожарном режиме», в целях обеспечения пожарной безопасности  на территории Бартеневского муниципального образования, администрация Бартеневского муниципального образования 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П О С Т А Н О В Л Я Е Т</w:t>
            </w:r>
            <w:r>
              <w:rPr>
                <w:rFonts w:cs="Times New Roman"/>
              </w:rPr>
              <w:t xml:space="preserve"> :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98" w:leader="none"/>
                <w:tab w:val="left" w:pos="1090" w:leader="none"/>
              </w:tabs>
              <w:ind w:left="98" w:firstLine="709"/>
              <w:jc w:val="both"/>
              <w:rPr/>
            </w:pPr>
            <w:r>
              <w:rPr/>
              <w:t xml:space="preserve">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граждан, </w:t>
            </w:r>
            <w:r>
              <w:rPr>
                <w:rFonts w:eastAsia="Calibri" w:cs="Times New Roman"/>
              </w:rPr>
              <w:t>на территории  Бартеневского муниципального образования</w:t>
            </w:r>
            <w:r>
              <w:rPr/>
              <w:t xml:space="preserve">  (согласно приложению).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98" w:leader="none"/>
                <w:tab w:val="left" w:pos="1090" w:leader="none"/>
              </w:tabs>
              <w:ind w:left="98" w:firstLine="709"/>
              <w:jc w:val="both"/>
              <w:rPr/>
            </w:pPr>
            <w:r>
              <w:rPr/>
              <w:t>Гражданам, имеющим в собственности (пользовании) помещения и строения:</w:t>
            </w:r>
          </w:p>
          <w:p>
            <w:pPr>
              <w:pStyle w:val="Normal"/>
              <w:tabs>
                <w:tab w:val="left" w:pos="98" w:leader="none"/>
                <w:tab w:val="left" w:pos="1090" w:leader="none"/>
              </w:tabs>
              <w:ind w:left="98" w:firstLine="709"/>
              <w:jc w:val="both"/>
              <w:rPr/>
            </w:pPr>
            <w:r>
              <w:rPr/>
              <w:t>2.1. Иметь первичные средства пожаротушения и противопожарный инвентарь согласно утвержденному приложению.</w:t>
            </w:r>
          </w:p>
          <w:p>
            <w:pPr>
              <w:pStyle w:val="Normal"/>
              <w:tabs>
                <w:tab w:val="left" w:pos="98" w:leader="none"/>
                <w:tab w:val="left" w:pos="1090" w:leader="none"/>
              </w:tabs>
              <w:ind w:left="98" w:firstLine="709"/>
              <w:jc w:val="both"/>
              <w:rPr/>
            </w:pPr>
            <w:r>
              <w:rPr/>
              <w:t>2.2. Содержать первичные средства пожаротушения в соответствии с руководством по эксплуатации завода-изготовителя.</w:t>
            </w:r>
          </w:p>
          <w:p>
            <w:pPr>
              <w:pStyle w:val="Normal"/>
              <w:tabs>
                <w:tab w:val="left" w:pos="98" w:leader="none"/>
                <w:tab w:val="left" w:pos="1090" w:leader="none"/>
              </w:tabs>
              <w:ind w:left="98" w:firstLine="709"/>
              <w:jc w:val="both"/>
              <w:rPr/>
            </w:pPr>
            <w:r>
              <w:rPr/>
              <w:t>3</w:t>
            </w:r>
            <w:r>
              <w:rPr/>
              <w:t>. Постановление  №87 от 12.12.2017 г. - считать утратившим силу.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98" w:leader="none"/>
                <w:tab w:val="left" w:pos="1090" w:leader="none"/>
              </w:tabs>
              <w:suppressAutoHyphens w:val="true"/>
              <w:bidi w:val="0"/>
              <w:ind w:left="1501" w:right="0" w:hanging="0"/>
              <w:jc w:val="both"/>
              <w:rPr/>
            </w:pPr>
            <w:r>
              <w:rPr/>
              <w:t xml:space="preserve">4. </w:t>
            </w:r>
            <w:r>
              <w:rPr/>
              <w:t>Настоящее постановление вступает в силу с момента его официального опубликования и подлежит размещению на официальном сайте Ивантеевского муниципального  района.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675" w:leader="none"/>
                <w:tab w:val="left" w:pos="1090" w:leader="none"/>
              </w:tabs>
              <w:suppressAutoHyphens w:val="true"/>
              <w:bidi w:val="0"/>
              <w:ind w:left="1501" w:right="0" w:hanging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  <w:r>
              <w:rPr>
                <w:rFonts w:cs="Times New Roman"/>
              </w:rPr>
              <w:t>Контроль за выполнением данного постановления оставляю за собой.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/>
                <w:b/>
              </w:rPr>
              <w:t>Глава Бартеневского</w:t>
            </w:r>
          </w:p>
          <w:p>
            <w:pPr>
              <w:pStyle w:val="Normal"/>
              <w:rPr/>
            </w:pPr>
            <w:r>
              <w:rPr>
                <w:rFonts w:cs="Times New Roman"/>
                <w:b/>
              </w:rPr>
              <w:t>муниципального образования                                                                Р.Е.Скипа</w:t>
            </w:r>
          </w:p>
          <w:p>
            <w:pPr>
              <w:pStyle w:val="Normal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Приложение №1</w:t>
            </w:r>
          </w:p>
          <w:p>
            <w:pPr>
              <w:pStyle w:val="Normal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к постановлению администрации </w:t>
            </w:r>
          </w:p>
          <w:p>
            <w:pPr>
              <w:pStyle w:val="Normal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Бартеневского муниципального образования</w:t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/>
              </w:rPr>
              <w:t xml:space="preserve">от 24.03.2021 г. №13 </w:t>
            </w:r>
          </w:p>
          <w:p>
            <w:pPr>
              <w:pStyle w:val="Normal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14"/>
              <w:widowControl/>
              <w:jc w:val="center"/>
              <w:rPr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</w:rPr>
              <w:t xml:space="preserve">Перечень 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Бартеневского муниципального образования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tbl>
            <w:tblPr>
              <w:tblW w:w="11312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23"/>
              <w:gridCol w:w="2129"/>
              <w:gridCol w:w="1420"/>
              <w:gridCol w:w="675"/>
              <w:gridCol w:w="175"/>
              <w:gridCol w:w="1559"/>
              <w:gridCol w:w="100"/>
              <w:gridCol w:w="751"/>
              <w:gridCol w:w="487"/>
              <w:gridCol w:w="507"/>
              <w:gridCol w:w="392"/>
              <w:gridCol w:w="824"/>
              <w:gridCol w:w="1768"/>
            </w:tblGrid>
            <w:tr>
              <w:trPr>
                <w:trHeight w:val="23" w:hRule="atLeast"/>
              </w:trPr>
              <w:tc>
                <w:tcPr>
                  <w:tcW w:w="52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sz w:val="2"/>
                    </w:rPr>
                  </w:pPr>
                  <w:r>
                    <w:rPr>
                      <w:sz w:val="2"/>
                    </w:rPr>
                  </w:r>
                </w:p>
              </w:tc>
              <w:tc>
                <w:tcPr>
                  <w:tcW w:w="212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sz w:val="2"/>
                    </w:rPr>
                  </w:pPr>
                  <w:r>
                    <w:rPr>
                      <w:sz w:val="2"/>
                    </w:rPr>
                  </w:r>
                </w:p>
              </w:tc>
              <w:tc>
                <w:tcPr>
                  <w:tcW w:w="2095" w:type="dxa"/>
                  <w:gridSpan w:val="2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sz w:val="2"/>
                    </w:rPr>
                  </w:pPr>
                  <w:r>
                    <w:rPr>
                      <w:sz w:val="2"/>
                    </w:rPr>
                  </w:r>
                </w:p>
              </w:tc>
              <w:tc>
                <w:tcPr>
                  <w:tcW w:w="1834" w:type="dxa"/>
                  <w:gridSpan w:val="3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sz w:val="2"/>
                    </w:rPr>
                  </w:pPr>
                  <w:r>
                    <w:rPr>
                      <w:sz w:val="2"/>
                    </w:rPr>
                  </w:r>
                </w:p>
              </w:tc>
              <w:tc>
                <w:tcPr>
                  <w:tcW w:w="1238" w:type="dxa"/>
                  <w:gridSpan w:val="2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sz w:val="2"/>
                    </w:rPr>
                  </w:pPr>
                  <w:r>
                    <w:rPr>
                      <w:sz w:val="2"/>
                    </w:rPr>
                  </w:r>
                </w:p>
              </w:tc>
              <w:tc>
                <w:tcPr>
                  <w:tcW w:w="899" w:type="dxa"/>
                  <w:gridSpan w:val="2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sz w:val="2"/>
                    </w:rPr>
                  </w:pPr>
                  <w:r>
                    <w:rPr>
                      <w:sz w:val="2"/>
                    </w:rPr>
                  </w:r>
                </w:p>
              </w:tc>
              <w:tc>
                <w:tcPr>
                  <w:tcW w:w="82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sz w:val="2"/>
                    </w:rPr>
                  </w:pPr>
                  <w:r>
                    <w:rPr>
                      <w:sz w:val="2"/>
                    </w:rPr>
                  </w:r>
                </w:p>
              </w:tc>
              <w:tc>
                <w:tcPr>
                  <w:tcW w:w="17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sz w:val="2"/>
                    </w:rPr>
                  </w:pPr>
                  <w:r>
                    <w:rPr>
                      <w:sz w:val="2"/>
                    </w:rPr>
                  </w:r>
                </w:p>
              </w:tc>
            </w:tr>
            <w:tr>
              <w:trPr>
                <w:trHeight w:val="860" w:hRule="atLeast"/>
              </w:trPr>
              <w:tc>
                <w:tcPr>
                  <w:tcW w:w="5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jc w:val="center"/>
                    <w:rPr/>
                  </w:pPr>
                  <w:r>
                    <w:rPr/>
                    <w:t xml:space="preserve">N п/п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ind w:left="150" w:right="25" w:hanging="0"/>
                    <w:jc w:val="center"/>
                    <w:rPr/>
                  </w:pPr>
                  <w:r>
                    <w:rPr/>
                    <w:t xml:space="preserve">Наименование помещения, строения </w:t>
                  </w:r>
                </w:p>
              </w:tc>
              <w:tc>
                <w:tcPr>
                  <w:tcW w:w="8658" w:type="dxa"/>
                  <w:gridSpan w:val="11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rPr/>
                  </w:pPr>
                  <w:r>
                    <w:rPr/>
                    <w:t>Средства пожаротушения, противопожарный инвентарь (шт.)</w:t>
                  </w:r>
                </w:p>
              </w:tc>
            </w:tr>
            <w:tr>
              <w:trPr>
                <w:trHeight w:val="874" w:hRule="atLeast"/>
              </w:trPr>
              <w:tc>
                <w:tcPr>
                  <w:tcW w:w="5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21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4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jc w:val="center"/>
                    <w:rPr/>
                  </w:pPr>
                  <w:r>
                    <w:rPr/>
                    <w:t>огнетушители &lt;1&gt;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jc w:val="center"/>
                    <w:rPr/>
                  </w:pPr>
                  <w:r>
                    <w:rPr/>
                    <w:t>внутриквартирный пожарный кран &lt;2&gt;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jc w:val="center"/>
                    <w:rPr/>
                  </w:pPr>
                  <w:r>
                    <w:rPr/>
                    <w:t>емкость с водой &lt;3&gt;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jc w:val="center"/>
                    <w:rPr/>
                  </w:pPr>
                  <w:r>
                    <w:rPr/>
                    <w:t xml:space="preserve">ведро 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jc w:val="center"/>
                    <w:rPr/>
                  </w:pPr>
                  <w:r>
                    <w:rPr/>
                    <w:t>ящик с песком &lt;4&gt;</w:t>
                  </w:r>
                </w:p>
              </w:tc>
              <w:tc>
                <w:tcPr>
                  <w:tcW w:w="2984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ind w:right="500" w:hanging="0"/>
                    <w:rPr/>
                  </w:pPr>
                  <w:r>
                    <w:rPr/>
                    <w:t xml:space="preserve">лопата </w:t>
                  </w:r>
                </w:p>
              </w:tc>
            </w:tr>
            <w:tr>
              <w:trPr>
                <w:trHeight w:val="874" w:hRule="atLeast"/>
              </w:trPr>
              <w:tc>
                <w:tcPr>
                  <w:tcW w:w="5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jc w:val="center"/>
                    <w:rPr/>
                  </w:pPr>
                  <w:r>
                    <w:rPr/>
                    <w:t>1.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ind w:left="138" w:right="25" w:hanging="0"/>
                    <w:rPr/>
                  </w:pPr>
                  <w:r>
                    <w:rPr/>
                    <w:t xml:space="preserve">Индивидуальные жилые и садовые дома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jc w:val="center"/>
                    <w:rPr/>
                  </w:pPr>
                  <w:r>
                    <w:rPr/>
                    <w:t xml:space="preserve">1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jc w:val="center"/>
                    <w:rPr/>
                  </w:pPr>
                  <w:r>
                    <w:rPr/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jc w:val="center"/>
                    <w:rPr/>
                  </w:pPr>
                  <w:r>
                    <w:rPr/>
                    <w:t xml:space="preserve">1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jc w:val="center"/>
                    <w:rPr/>
                  </w:pPr>
                  <w:r>
                    <w:rPr/>
                    <w:t xml:space="preserve">1 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jc w:val="center"/>
                    <w:rPr/>
                  </w:pPr>
                  <w:r>
                    <w:rPr/>
                    <w:t xml:space="preserve">1 </w:t>
                  </w:r>
                </w:p>
              </w:tc>
              <w:tc>
                <w:tcPr>
                  <w:tcW w:w="2984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tabs>
                      <w:tab w:val="right" w:pos="2882" w:leader="none"/>
                    </w:tabs>
                    <w:spacing w:before="0" w:after="0"/>
                    <w:rPr/>
                  </w:pPr>
                  <w:r>
                    <w:rPr/>
                    <w:t>1</w:t>
                    <w:tab/>
                    <w:t>1</w:t>
                  </w:r>
                </w:p>
              </w:tc>
            </w:tr>
            <w:tr>
              <w:trPr>
                <w:trHeight w:val="569" w:hRule="atLeast"/>
              </w:trPr>
              <w:tc>
                <w:tcPr>
                  <w:tcW w:w="5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jc w:val="center"/>
                    <w:rPr/>
                  </w:pPr>
                  <w:r>
                    <w:rPr/>
                    <w:t>2.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ind w:left="138" w:right="63" w:hanging="0"/>
                    <w:rPr/>
                  </w:pPr>
                  <w:r>
                    <w:rPr/>
                    <w:t xml:space="preserve">Индивидуальные гаражи 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jc w:val="center"/>
                    <w:rPr/>
                  </w:pPr>
                  <w:r>
                    <w:rPr/>
                    <w:t xml:space="preserve">1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jc w:val="center"/>
                    <w:rPr/>
                  </w:pPr>
                  <w:r>
                    <w:rPr/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jc w:val="center"/>
                    <w:rPr/>
                  </w:pPr>
                  <w:r>
                    <w:rPr/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jc w:val="center"/>
                    <w:rPr/>
                  </w:pPr>
                  <w:r>
                    <w:rPr/>
                    <w:t>-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jc w:val="center"/>
                    <w:rPr/>
                  </w:pPr>
                  <w:r>
                    <w:rPr/>
                    <w:t>-</w:t>
                  </w:r>
                </w:p>
              </w:tc>
              <w:tc>
                <w:tcPr>
                  <w:tcW w:w="2984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Formattext"/>
                    <w:spacing w:before="0" w:after="0"/>
                    <w:jc w:val="center"/>
                    <w:rPr/>
                  </w:pPr>
                  <w:r>
                    <w:rPr/>
                    <w:t>-</w:t>
                  </w:r>
                </w:p>
              </w:tc>
            </w:tr>
          </w:tbl>
          <w:p>
            <w:pPr>
              <w:pStyle w:val="Style14"/>
              <w:widowControl/>
              <w:spacing w:before="0" w:after="1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Style14"/>
        <w:widowControl/>
        <w:jc w:val="both"/>
        <w:rPr/>
      </w:pPr>
      <w:r>
        <w:rPr/>
        <w:t>Примечания:</w:t>
      </w:r>
    </w:p>
    <w:p>
      <w:pPr>
        <w:pStyle w:val="Normal"/>
        <w:suppressAutoHyphens w:val="false"/>
        <w:ind w:left="13" w:right="-1" w:hanging="0"/>
        <w:jc w:val="both"/>
        <w:rPr>
          <w:sz w:val="20"/>
          <w:szCs w:val="20"/>
        </w:rPr>
      </w:pPr>
      <w:r>
        <w:rPr>
          <w:sz w:val="20"/>
          <w:szCs w:val="20"/>
        </w:rPr>
        <w:t>1. Собственники помещений, строений обеспечивают наличие и исправность огнетушителей,  осуществляют их проверку, перезарядку согласно требованиям, указанным в паспорте. Огнетушители следует располагать на видных местах  вблизи от выходов из помещений. Способ приведения огнетушителя в действие  и его применения указаны на этикетке, нанесенной на корпусе огнетушителя.  Рекомендуется применять порошковые огнетушители, вместимостью (массой  заряда) не менее 2 кг (ОП-2, ОП-3, ОП-4, ОП-5), они должны быть опломбированы пломбой завода-изготовителя или организацией, производящей  перезарядку.</w:t>
      </w:r>
    </w:p>
    <w:p>
      <w:pPr>
        <w:pStyle w:val="Normal"/>
        <w:suppressAutoHyphens w:val="false"/>
        <w:ind w:left="13" w:right="-1" w:hanging="0"/>
        <w:jc w:val="both"/>
        <w:rPr>
          <w:sz w:val="20"/>
          <w:szCs w:val="20"/>
        </w:rPr>
      </w:pPr>
      <w:r>
        <w:rPr/>
        <w:t>2</w:t>
      </w:r>
      <w:r>
        <w:rPr>
          <w:sz w:val="20"/>
          <w:szCs w:val="20"/>
        </w:rPr>
        <w:t>. Внутриквартирным пожарным краном укомплектовываются квартиры, в  Которых согласно проектно-сметной документации требуется установка 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3 м, быть длиной не менее 15 м, диаметром – 19 мм и оборудован распылителем.</w:t>
      </w:r>
    </w:p>
    <w:p>
      <w:pPr>
        <w:pStyle w:val="Normal"/>
        <w:suppressAutoHyphens w:val="false"/>
        <w:ind w:left="13" w:right="-1" w:hanging="0"/>
        <w:jc w:val="both"/>
        <w:rPr>
          <w:sz w:val="20"/>
          <w:szCs w:val="20"/>
        </w:rPr>
      </w:pPr>
      <w:r>
        <w:rPr>
          <w:sz w:val="20"/>
          <w:szCs w:val="20"/>
        </w:rPr>
        <w:t>3. Емкость с водой должна иметь объем не менее 200 л и комплектоваться ведрами. Устанавливается в весенний, летний и осенний периоды года.</w:t>
      </w:r>
    </w:p>
    <w:p>
      <w:pPr>
        <w:pStyle w:val="Normal"/>
        <w:suppressAutoHyphens w:val="false"/>
        <w:ind w:right="-1" w:hanging="0"/>
        <w:jc w:val="both"/>
        <w:rPr/>
      </w:pPr>
      <w:r>
        <w:rPr>
          <w:sz w:val="20"/>
          <w:szCs w:val="20"/>
        </w:rPr>
        <w:t>4.Ящик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>
      <w:pPr>
        <w:pStyle w:val="Style14"/>
        <w:widowControl/>
        <w:spacing w:before="0" w:after="120"/>
        <w:ind w:right="-1" w:hanging="0"/>
        <w:rPr/>
      </w:pPr>
      <w:r>
        <w:rPr/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00d4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ru-RU" w:eastAsia="hi-IN" w:bidi="hi-IN"/>
    </w:rPr>
  </w:style>
  <w:style w:type="paragraph" w:styleId="2">
    <w:name w:val="Heading 2"/>
    <w:basedOn w:val="Normal"/>
    <w:qFormat/>
    <w:rsid w:val="005a00d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Style13"/>
    <w:qFormat/>
    <w:rsid w:val="005a00d4"/>
    <w:pPr>
      <w:numPr>
        <w:ilvl w:val="3"/>
        <w:numId w:val="1"/>
      </w:numPr>
      <w:outlineLvl w:val="3"/>
    </w:pPr>
    <w:rPr>
      <w:rFonts w:ascii="Times New Roman" w:hAnsi="Times New Roman" w:eastAsia="SimSun"/>
      <w:b/>
      <w:bCs/>
      <w:sz w:val="24"/>
      <w:szCs w:val="24"/>
    </w:rPr>
  </w:style>
  <w:style w:type="paragraph" w:styleId="5">
    <w:name w:val="Heading 5"/>
    <w:basedOn w:val="Style13"/>
    <w:qFormat/>
    <w:rsid w:val="005a00d4"/>
    <w:pPr>
      <w:numPr>
        <w:ilvl w:val="4"/>
        <w:numId w:val="1"/>
      </w:numPr>
      <w:outlineLvl w:val="4"/>
    </w:pPr>
    <w:rPr>
      <w:rFonts w:ascii="Times New Roman" w:hAnsi="Times New Roman" w:eastAsia="SimSu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a00d4"/>
    <w:rPr/>
  </w:style>
  <w:style w:type="character" w:styleId="WW8Num1z1" w:customStyle="1">
    <w:name w:val="WW8Num1z1"/>
    <w:qFormat/>
    <w:rsid w:val="005a00d4"/>
    <w:rPr/>
  </w:style>
  <w:style w:type="character" w:styleId="WW8Num1z2" w:customStyle="1">
    <w:name w:val="WW8Num1z2"/>
    <w:qFormat/>
    <w:rsid w:val="005a00d4"/>
    <w:rPr/>
  </w:style>
  <w:style w:type="character" w:styleId="WW8Num1z3" w:customStyle="1">
    <w:name w:val="WW8Num1z3"/>
    <w:qFormat/>
    <w:rsid w:val="005a00d4"/>
    <w:rPr/>
  </w:style>
  <w:style w:type="character" w:styleId="WW8Num1z4" w:customStyle="1">
    <w:name w:val="WW8Num1z4"/>
    <w:qFormat/>
    <w:rsid w:val="005a00d4"/>
    <w:rPr/>
  </w:style>
  <w:style w:type="character" w:styleId="WW8Num1z5" w:customStyle="1">
    <w:name w:val="WW8Num1z5"/>
    <w:qFormat/>
    <w:rsid w:val="005a00d4"/>
    <w:rPr/>
  </w:style>
  <w:style w:type="character" w:styleId="WW8Num1z6" w:customStyle="1">
    <w:name w:val="WW8Num1z6"/>
    <w:qFormat/>
    <w:rsid w:val="005a00d4"/>
    <w:rPr/>
  </w:style>
  <w:style w:type="character" w:styleId="WW8Num1z7" w:customStyle="1">
    <w:name w:val="WW8Num1z7"/>
    <w:qFormat/>
    <w:rsid w:val="005a00d4"/>
    <w:rPr/>
  </w:style>
  <w:style w:type="character" w:styleId="WW8Num1z8" w:customStyle="1">
    <w:name w:val="WW8Num1z8"/>
    <w:qFormat/>
    <w:rsid w:val="005a00d4"/>
    <w:rPr/>
  </w:style>
  <w:style w:type="character" w:styleId="WW8Num2z0" w:customStyle="1">
    <w:name w:val="WW8Num2z0"/>
    <w:qFormat/>
    <w:rsid w:val="005a00d4"/>
    <w:rPr/>
  </w:style>
  <w:style w:type="character" w:styleId="WW8Num2z1" w:customStyle="1">
    <w:name w:val="WW8Num2z1"/>
    <w:qFormat/>
    <w:rsid w:val="005a00d4"/>
    <w:rPr/>
  </w:style>
  <w:style w:type="character" w:styleId="WW8Num2z2" w:customStyle="1">
    <w:name w:val="WW8Num2z2"/>
    <w:qFormat/>
    <w:rsid w:val="005a00d4"/>
    <w:rPr/>
  </w:style>
  <w:style w:type="character" w:styleId="WW8Num2z3" w:customStyle="1">
    <w:name w:val="WW8Num2z3"/>
    <w:qFormat/>
    <w:rsid w:val="005a00d4"/>
    <w:rPr/>
  </w:style>
  <w:style w:type="character" w:styleId="WW8Num2z4" w:customStyle="1">
    <w:name w:val="WW8Num2z4"/>
    <w:qFormat/>
    <w:rsid w:val="005a00d4"/>
    <w:rPr/>
  </w:style>
  <w:style w:type="character" w:styleId="WW8Num2z5" w:customStyle="1">
    <w:name w:val="WW8Num2z5"/>
    <w:qFormat/>
    <w:rsid w:val="005a00d4"/>
    <w:rPr/>
  </w:style>
  <w:style w:type="character" w:styleId="WW8Num2z6" w:customStyle="1">
    <w:name w:val="WW8Num2z6"/>
    <w:qFormat/>
    <w:rsid w:val="005a00d4"/>
    <w:rPr/>
  </w:style>
  <w:style w:type="character" w:styleId="WW8Num2z7" w:customStyle="1">
    <w:name w:val="WW8Num2z7"/>
    <w:qFormat/>
    <w:rsid w:val="005a00d4"/>
    <w:rPr/>
  </w:style>
  <w:style w:type="character" w:styleId="WW8Num2z8" w:customStyle="1">
    <w:name w:val="WW8Num2z8"/>
    <w:qFormat/>
    <w:rsid w:val="005a00d4"/>
    <w:rPr/>
  </w:style>
  <w:style w:type="character" w:styleId="WW8Num3z0" w:customStyle="1">
    <w:name w:val="WW8Num3z0"/>
    <w:qFormat/>
    <w:rsid w:val="005a00d4"/>
    <w:rPr/>
  </w:style>
  <w:style w:type="character" w:styleId="WW8Num3z1" w:customStyle="1">
    <w:name w:val="WW8Num3z1"/>
    <w:qFormat/>
    <w:rsid w:val="005a00d4"/>
    <w:rPr/>
  </w:style>
  <w:style w:type="character" w:styleId="WW8Num3z2" w:customStyle="1">
    <w:name w:val="WW8Num3z2"/>
    <w:qFormat/>
    <w:rsid w:val="005a00d4"/>
    <w:rPr/>
  </w:style>
  <w:style w:type="character" w:styleId="WW8Num3z3" w:customStyle="1">
    <w:name w:val="WW8Num3z3"/>
    <w:qFormat/>
    <w:rsid w:val="005a00d4"/>
    <w:rPr/>
  </w:style>
  <w:style w:type="character" w:styleId="WW8Num3z4" w:customStyle="1">
    <w:name w:val="WW8Num3z4"/>
    <w:qFormat/>
    <w:rsid w:val="005a00d4"/>
    <w:rPr/>
  </w:style>
  <w:style w:type="character" w:styleId="WW8Num3z5" w:customStyle="1">
    <w:name w:val="WW8Num3z5"/>
    <w:qFormat/>
    <w:rsid w:val="005a00d4"/>
    <w:rPr/>
  </w:style>
  <w:style w:type="character" w:styleId="WW8Num3z6" w:customStyle="1">
    <w:name w:val="WW8Num3z6"/>
    <w:qFormat/>
    <w:rsid w:val="005a00d4"/>
    <w:rPr/>
  </w:style>
  <w:style w:type="character" w:styleId="WW8Num3z7" w:customStyle="1">
    <w:name w:val="WW8Num3z7"/>
    <w:qFormat/>
    <w:rsid w:val="005a00d4"/>
    <w:rPr/>
  </w:style>
  <w:style w:type="character" w:styleId="WW8Num3z8" w:customStyle="1">
    <w:name w:val="WW8Num3z8"/>
    <w:qFormat/>
    <w:rsid w:val="005a00d4"/>
    <w:rPr/>
  </w:style>
  <w:style w:type="character" w:styleId="Strong">
    <w:name w:val="Strong"/>
    <w:qFormat/>
    <w:rsid w:val="005a00d4"/>
    <w:rPr>
      <w:b/>
      <w:bCs/>
    </w:rPr>
  </w:style>
  <w:style w:type="character" w:styleId="Style11" w:customStyle="1">
    <w:name w:val="Символ нумерации"/>
    <w:qFormat/>
    <w:rsid w:val="005a00d4"/>
    <w:rPr/>
  </w:style>
  <w:style w:type="character" w:styleId="Style12">
    <w:name w:val="Выделение"/>
    <w:qFormat/>
    <w:rsid w:val="005a00d4"/>
    <w:rPr>
      <w:i/>
      <w:iCs/>
    </w:rPr>
  </w:style>
  <w:style w:type="paragraph" w:styleId="Style13" w:customStyle="1">
    <w:name w:val="Заголовок"/>
    <w:basedOn w:val="Normal"/>
    <w:next w:val="Style14"/>
    <w:qFormat/>
    <w:rsid w:val="005a00d4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Style14">
    <w:name w:val="Body Text"/>
    <w:basedOn w:val="Normal"/>
    <w:rsid w:val="005a00d4"/>
    <w:pPr>
      <w:spacing w:before="0" w:after="120"/>
    </w:pPr>
    <w:rPr/>
  </w:style>
  <w:style w:type="paragraph" w:styleId="Style15">
    <w:name w:val="List"/>
    <w:basedOn w:val="Style14"/>
    <w:rsid w:val="005a00d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Название1"/>
    <w:basedOn w:val="Normal"/>
    <w:qFormat/>
    <w:rsid w:val="005a00d4"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qFormat/>
    <w:rsid w:val="005a00d4"/>
    <w:pPr>
      <w:suppressLineNumbers/>
    </w:pPr>
    <w:rPr/>
  </w:style>
  <w:style w:type="paragraph" w:styleId="Style18" w:customStyle="1">
    <w:name w:val="Содержимое таблицы"/>
    <w:basedOn w:val="Normal"/>
    <w:qFormat/>
    <w:rsid w:val="005a00d4"/>
    <w:pPr>
      <w:suppressLineNumbers/>
    </w:pPr>
    <w:rPr/>
  </w:style>
  <w:style w:type="paragraph" w:styleId="Style19" w:customStyle="1">
    <w:name w:val="Заголовок таблицы"/>
    <w:basedOn w:val="Style18"/>
    <w:qFormat/>
    <w:rsid w:val="005a00d4"/>
    <w:pPr>
      <w:jc w:val="center"/>
    </w:pPr>
    <w:rPr>
      <w:b/>
      <w:bCs/>
    </w:rPr>
  </w:style>
  <w:style w:type="paragraph" w:styleId="Formattext" w:customStyle="1">
    <w:name w:val="formattext"/>
    <w:basedOn w:val="Normal"/>
    <w:qFormat/>
    <w:rsid w:val="005a00d4"/>
    <w:pPr>
      <w:suppressAutoHyphens w:val="false"/>
      <w:spacing w:before="280" w:after="280"/>
    </w:pPr>
    <w:rPr/>
  </w:style>
  <w:style w:type="paragraph" w:styleId="NoSpacing">
    <w:name w:val="No Spacing"/>
    <w:uiPriority w:val="1"/>
    <w:qFormat/>
    <w:rsid w:val="00c079ab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1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LibreOffice/5.4.3.2$Windows_X86_64 LibreOffice_project/92a7159f7e4af62137622921e809f8546db437e5</Application>
  <Pages>2</Pages>
  <Words>479</Words>
  <Characters>3405</Characters>
  <CharactersWithSpaces>4022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2018-05-22T10:49:00Z</dcterms:created>
  <dc:creator>Владелец</dc:creator>
  <dc:description/>
  <dc:language>ru-RU</dc:language>
  <cp:lastModifiedBy/>
  <cp:lastPrinted>2018-05-30T07:40:00Z</cp:lastPrinted>
  <dcterms:modified xsi:type="dcterms:W3CDTF">2021-04-06T15:43:00Z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