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</w:p>
    <w:p>
      <w:pPr>
        <w:pStyle w:val="Style16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от 1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9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.03.2020 г.                                                                                                                       с. Николаевка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от 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.02.2019 г. №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Предоставление земельных участков, находящихся   </w:t>
      </w:r>
    </w:p>
    <w:p>
      <w:pPr>
        <w:pStyle w:val="Normal"/>
        <w:spacing w:lineRule="atLeast" w:line="100"/>
        <w:ind w:hanging="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муниципальной собственности, без проведения торгов»</w:t>
      </w:r>
    </w:p>
    <w:p>
      <w:pPr>
        <w:pStyle w:val="Normal"/>
        <w:spacing w:lineRule="atLeast" w:line="100"/>
        <w:ind w:firstLine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 пунктом 2 статьи 39.6 Земельного кодекса Российской Федерации,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основании протеста прокуратуры №</w:t>
      </w:r>
      <w:r>
        <w:rPr>
          <w:rFonts w:cs="Times New Roman" w:ascii="Times New Roman" w:hAnsi="Times New Roman"/>
          <w:sz w:val="28"/>
          <w:szCs w:val="28"/>
        </w:rPr>
        <w:t>49</w:t>
      </w:r>
      <w:r>
        <w:rPr>
          <w:rFonts w:cs="Times New Roman" w:ascii="Times New Roman" w:hAnsi="Times New Roman"/>
          <w:sz w:val="28"/>
          <w:szCs w:val="28"/>
        </w:rPr>
        <w:t xml:space="preserve">-2020 от 10.03.2020 года, администрация </w:t>
      </w:r>
      <w:r>
        <w:rPr>
          <w:rFonts w:cs="Times New Roman" w:ascii="Times New Roman" w:hAnsi="Times New Roman"/>
          <w:sz w:val="28"/>
          <w:szCs w:val="28"/>
        </w:rPr>
        <w:t>Николае</w:t>
      </w:r>
      <w:r>
        <w:rPr>
          <w:rFonts w:cs="Times New Roman" w:ascii="Times New Roman" w:hAnsi="Times New Roman"/>
          <w:sz w:val="28"/>
          <w:szCs w:val="28"/>
        </w:rPr>
        <w:t>вского  муниципального образования постановляет:</w:t>
      </w:r>
    </w:p>
    <w:p>
      <w:pPr>
        <w:pStyle w:val="Style21"/>
        <w:ind w:firstLine="586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Внести  в постановление администрации </w:t>
      </w:r>
      <w:r>
        <w:rPr>
          <w:rFonts w:cs="Times New Roman" w:ascii="Times New Roman" w:hAnsi="Times New Roman"/>
          <w:bCs/>
          <w:sz w:val="28"/>
          <w:szCs w:val="28"/>
        </w:rPr>
        <w:t>от 2</w:t>
      </w: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 xml:space="preserve">.02.2019 г. № </w:t>
      </w:r>
      <w:r>
        <w:rPr>
          <w:rFonts w:cs="Times New Roman" w:ascii="Times New Roman" w:hAnsi="Times New Roman"/>
          <w:bCs/>
          <w:sz w:val="28"/>
          <w:szCs w:val="28"/>
        </w:rPr>
        <w:t>6</w:t>
      </w:r>
      <w:r>
        <w:rPr>
          <w:rFonts w:cs="Times New Roman"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«Предоставление земельных участков, находящихся в муниципальной собственности, без проведения торгов», следующие изменения и дополнения:</w:t>
      </w:r>
    </w:p>
    <w:p>
      <w:pPr>
        <w:pStyle w:val="Style21"/>
        <w:ind w:firstLine="5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1.1. В приложении к постановлению  пункт 1.2. подпункт «В аренду» изложить в новой редакции:</w:t>
      </w:r>
    </w:p>
    <w:p>
      <w:pPr>
        <w:pStyle w:val="Style21"/>
        <w:ind w:firstLine="58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685" w:type="dxa"/>
        <w:jc w:val="left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557"/>
        <w:gridCol w:w="5010"/>
        <w:gridCol w:w="68"/>
        <w:gridCol w:w="40"/>
        <w:gridCol w:w="10"/>
      </w:tblGrid>
      <w:tr>
        <w:trPr>
          <w:trHeight w:val="23" w:hRule="atLeast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В аренду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napToGrid w:val="false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Style21"/>
              <w:snapToGrid w:val="false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 предоставляется в соответствии с указом или распоряжением Президента 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предоставляется 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</w:t>
            </w:r>
            <w:r>
              <w:rPr>
                <w:rStyle w:val="Style14"/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  <w:lang w:val="ru-RU"/>
              </w:rPr>
              <w:t>критериям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 установленным Правительством 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предоставляется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предоставляется 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ьным </w:t>
            </w:r>
            <w:r>
              <w:fldChar w:fldCharType="begin"/>
            </w:r>
            <w:r>
              <w:instrText> HYPERLINK "http://www.consultant.ru/document/cons_doc_LAW_327803/" \l "dst0"</w:instrText>
            </w:r>
            <w:r>
              <w:fldChar w:fldCharType="separate"/>
            </w:r>
            <w:bookmarkStart w:id="0" w:name="__DdeLink__5352_3704746428"/>
            <w:r>
              <w:rPr>
                <w:rStyle w:val="Style14"/>
                <w:rFonts w:ascii="Times New Roman" w:hAnsi="Times New Roman"/>
                <w:bCs/>
                <w:color w:val="000000"/>
                <w:sz w:val="24"/>
                <w:szCs w:val="24"/>
                <w:u w:val="none"/>
              </w:rPr>
              <w:t>законом</w:t>
            </w:r>
            <w:r>
              <w:fldChar w:fldCharType="end"/>
            </w: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для выполнения международных обязательств (С 1 января 2022 года Федеральным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законом</w:t>
            </w:r>
            <w:r>
              <w:rPr>
                <w:rStyle w:val="Style14"/>
                <w:rFonts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01.07.2018 N 175-ФЗ признается утратившим силу; До установления Правительством РФ порядка предоставления земельного участка в соответствии с пп. 3.1 п. 2 ст. 39.6 решение высшего должностного лица субъекта РФ о распоряжении земельным участком принимается по согласованию с Минстроем России)</w:t>
            </w:r>
          </w:p>
        </w:tc>
      </w:tr>
      <w:tr>
        <w:trPr>
          <w:trHeight w:val="23" w:hRule="atLeast"/>
        </w:trPr>
        <w:tc>
          <w:tcPr>
            <w:tcW w:w="4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</w:tr>
      <w:tr>
        <w:trPr>
          <w:trHeight w:val="23" w:hRule="atLeast"/>
        </w:trPr>
        <w:tc>
          <w:tcPr>
            <w:tcW w:w="4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  <w:lang w:eastAsia="ar-SA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образованный 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земельным участком общего назначения, такому юридическому лицу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Арендатор земельного участка, находящегося в  муниципальной собственности, из которого образован испрашиваемый земельный участок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образованный из земельного участка, находящегося в  муниципальной собственности, в том числе предоставленного для комплексного освоения территории (если иное не предусмотрено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п.п. 6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п. 2 ст 39.6 ЗК РФ,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пунктом 5 ст.46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ЗК РФ)</w:t>
            </w:r>
          </w:p>
        </w:tc>
      </w:tr>
      <w:tr>
        <w:trPr>
          <w:trHeight w:val="1742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территории  в целях индивидуального жилищного строительства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Некоммерческая организация, созданная гражданами, которой предоставлен земельный участок для комплексного освоения территории в целях индивидуального жилищного строительства</w:t>
            </w:r>
          </w:p>
        </w:tc>
        <w:tc>
          <w:tcPr>
            <w:tcW w:w="51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Член садоводческого или огороднического некоммерческого товарищества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садоводства или огородничества,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Член садоводства или огородничества, граждане, являющиеся правообладателями садовых или огородных земельных участков в границах такой территории с множественностью лиц на стороне арендатора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на котором расположены здания, сооружения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Собственник объекта незавершенного строительства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на котором расположен объект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      </w:r>
          </w:p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п.5 ст. 39.6 ЗК РФ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находящийся в постоянном (бессрочном) пользовании юридических лиц, этим землепользователям, за исключением юридических лиц, указанных в п.2 ст. 39.6 ЗК РФ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Юридическое лицо, с которым заключен договор об освоении территории в целях строительства жилья 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предназначенный для освоения территории в целях строительства стандартного жилья 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Юридическое лицо, с которым заключен договор о комплексном развитии территории 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 изъятый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кодексом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Лицо, заключившее договор о комплексном развитии территории в соответствии со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статьей 46.9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 для строительства объектов коммунальной, транспортной, социальной инфраструктур 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</w:t>
            </w:r>
          </w:p>
          <w:p>
            <w:pPr>
              <w:pStyle w:val="Style21"/>
              <w:spacing w:before="0" w:after="200"/>
              <w:ind w:firstLine="586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Гражданам 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статьей 39.18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ЗК РФ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предназначенный </w:t>
            </w:r>
          </w:p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для осуществления крестьянским (фермерским) хозяйством его деятельности 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муниципальных нужд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Религиозная организация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Казачье общество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которое имеет право на приобретение в собственность земельного участка, находящегося в  муниципальной собственности, без проведения торгов, в том числе бесплатно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зарезервирован для муниципальных нужд либо ограничен в обороте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Недропользователь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Резидент особой экономической зоны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с которым заключено концессионное соглашение, соглашение о муниципально-частном партнерстве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необходимый для осуществления деятельности, предусмотренной концессионным соглашением, соглашением о муниципально-частном партнерстве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или договор об освоении территории в целях строительства и эксплуатации наемного дома социального использования</w:t>
            </w:r>
          </w:p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Юридическое лицо, заключившее договор об освоении территории в целях строительства и эксплуатации наемного дома коммерческого использования </w:t>
            </w:r>
          </w:p>
          <w:p>
            <w:pPr>
              <w:pStyle w:val="Style21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или договор об освоении территории в целях строительства и эксплуатации наемного дома социального использования</w:t>
            </w:r>
          </w:p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с которым заключен специальный инвестиционный контракт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 необходимый для осуществления деятельности, предусмотренной специальным инвестиционным контрактом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с которым заключено охотхозяйственное соглашение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Государственная компания "Российские автомобильные дороги"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Открытое акционерное общество "Российские железные дороги"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 в границах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Лицо, осуществляющее товарную аквакультуру (товарное рыбоводство) на основании договора пользования рыбоводным участком, находящимся в муниципальной собственности 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для осуществления товарной аквакультуры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Арендатор,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Земельный участок, предназначенный для ведения сельскохозяйственного производства</w:t>
            </w:r>
          </w:p>
        </w:tc>
      </w:tr>
      <w:tr>
        <w:trPr>
          <w:trHeight w:val="23" w:hRule="atLeast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Арендатор земельного участка (за исключением арендаторов земельных участков, указанных в п.п. 31  п. 2 ст. 39.6 ЗК РФ), имеющий право на заключение нового договора аренды земельного участка</w:t>
            </w:r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200"/>
              <w:ind w:firstLine="586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Земельный участок, предоставляется если этот арендатор имеет право на заключение нового договора аренды такого земельного участка в соответствии с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пунктами 3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статьи 39.6 ЗК РФ</w:t>
            </w:r>
          </w:p>
        </w:tc>
      </w:tr>
    </w:tbl>
    <w:p>
      <w:pPr>
        <w:pStyle w:val="Style21"/>
        <w:ind w:firstLine="58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1"/>
        <w:ind w:firstLine="586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</w:t>
      </w:r>
      <w:r>
        <w:rPr>
          <w:rFonts w:cs="Times New Roman" w:ascii="Times New Roman" w:hAnsi="Times New Roman"/>
          <w:sz w:val="28"/>
          <w:szCs w:val="28"/>
        </w:rPr>
        <w:t xml:space="preserve">Николаевский </w:t>
      </w:r>
      <w:r>
        <w:rPr>
          <w:rFonts w:cs="Times New Roman" w:ascii="Times New Roman" w:hAnsi="Times New Roman"/>
          <w:sz w:val="28"/>
          <w:szCs w:val="28"/>
        </w:rPr>
        <w:t>Вестник» и разместить на официальном сайте администрации Ивантеевского муниципального района в разделе «</w:t>
      </w:r>
      <w:r>
        <w:rPr>
          <w:rFonts w:cs="Times New Roman" w:ascii="Times New Roman" w:hAnsi="Times New Roman"/>
          <w:sz w:val="28"/>
          <w:szCs w:val="28"/>
        </w:rPr>
        <w:t>Николае</w:t>
      </w:r>
      <w:r>
        <w:rPr>
          <w:rFonts w:cs="Times New Roman" w:ascii="Times New Roman" w:hAnsi="Times New Roman"/>
          <w:sz w:val="28"/>
          <w:szCs w:val="28"/>
        </w:rPr>
        <w:t>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LibreOffice/5.4.3.2$Windows_X86_64 LibreOffice_project/92a7159f7e4af62137622921e809f8546db437e5</Application>
  <Pages>8</Pages>
  <Words>1906</Words>
  <Characters>15162</Characters>
  <CharactersWithSpaces>17159</CharactersWithSpaces>
  <Paragraphs>110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2020-03-20T14:55:30Z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