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5"/>
        <w:jc w:val="center"/>
        <w:rPr/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5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 24.06.2021г     </w:t>
        <w:tab/>
        <w:tab/>
        <w:t xml:space="preserve">           №  33</w:t>
        <w:tab/>
        <w:tab/>
        <w:tab/>
        <w:t xml:space="preserve">         с. Николаевка</w:t>
      </w:r>
    </w:p>
    <w:p>
      <w:pPr>
        <w:pStyle w:val="Style15"/>
        <w:widowControl/>
        <w:spacing w:before="0" w:after="0"/>
        <w:ind w:left="0" w:right="354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200"/>
        <w:ind w:left="0" w:right="3543" w:firstLine="555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Об утверждении Плана привлечения сил и средств для тушения пожаров и проведения аварийно-спасательных работ на территории Николаевского муниципального образования Ивантеевского муниципального района Саратовской области</w:t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u w:val="none"/>
          </w:rPr>
          <w:t>Федеральным законом от 21.12.1994 N 69-ФЗ "О пожарной безопасности"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Приказом МЧС России от 25.10.17г № 467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(с изменениями на 28 февраля 2020 года) «Об утверждении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fldChar w:fldCharType="begin"/>
      </w:r>
      <w:r>
        <w:instrText> HYPERLINK "http://rnla-service.scli.ru:8080/rnla-links/ws/content/act/" \l "6520IM"</w:instrText>
      </w:r>
      <w:r>
        <w:fldChar w:fldCharType="separate"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Положения о пожарно-спасательных гарнизонах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», 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u w:val="none"/>
          </w:rPr>
          <w:t xml:space="preserve">Федеральным законом от 06.10.2003 N </w:t>
        </w:r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целях совершенствования организации тушения пожаров и соблюдения правил пожарной безопасности,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администрация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Утвердить прилагаемые:</w:t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Николаевского 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(приложение №1).</w:t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1.2.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(приложение №2).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Рекомендовать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индивидуальным предпринимателям,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руководителям предприятий и организаций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Постановление №26 от 16.11.2010г. «Об определении порядка привлечения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сил и средств подразделений пожарной охраны для тушения пожаров на территории Николаевского МО Ивантеевского муниципального района Саратовской области» считать утратившим силу. 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2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</w:t>
      </w:r>
      <w:r>
        <w:rPr>
          <w:rFonts w:cs="Times New Roman" w:ascii="Times New Roman" w:hAnsi="Times New Roman"/>
          <w:sz w:val="28"/>
          <w:szCs w:val="28"/>
        </w:rPr>
        <w:t>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2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5.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2"/>
        <w:widowControl/>
        <w:spacing w:before="0" w:after="0"/>
        <w:ind w:firstLine="58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b/>
          <w:color w:val="000000"/>
          <w:sz w:val="28"/>
          <w:szCs w:val="28"/>
        </w:rPr>
        <w:t>Глава Николаевского</w:t>
      </w:r>
    </w:p>
    <w:p>
      <w:pPr>
        <w:pStyle w:val="NormalWeb"/>
        <w:widowControl/>
        <w:spacing w:beforeAutospacing="0" w:before="0" w:afterAutospacing="0" w:after="0"/>
        <w:ind w:left="0" w:right="0" w:hanging="0"/>
        <w:rPr>
          <w:color w:val="000000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p>
      <w:pPr>
        <w:pStyle w:val="Style15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pacing w:val="0"/>
          <w:sz w:val="28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риложение №1</w:t>
      </w:r>
    </w:p>
    <w:p>
      <w:pPr>
        <w:pStyle w:val="ConsPlusTitle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от 24.06.2021г. №33</w:t>
      </w:r>
    </w:p>
    <w:p>
      <w:pPr>
        <w:pStyle w:val="Style15"/>
        <w:widowControl/>
        <w:spacing w:before="0" w:after="240"/>
        <w:ind w:left="0" w:right="0" w:firstLine="555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Николаевского муниципального образования 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1.1. Настоящее положение регулирует порядок привлечения сил и средств  для тушения пожаров и проведения аварийно-спасательных работ на территории Николаевского муниципального образования в соответствии с Федеральными законами от 21.12.1994 № 69-Ф3 «О пожарной безопасности», от 06.10.2003 № 131-ФЗ «Об общих принципах организации местного самоуправления в Российской Федерации».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1.2. Для тушения пожаров и проведения аварийно-спасательных работ на территории Николаевского муниципального образования привлекаются следующие силы: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Государственное учреждение Саратовской области (ГУ 1 отряд ФПС) ПСЧ -41;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-пожарная машина АЦ-30/53 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трактор с плугом Т-4 ТН-5-35;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водоподающая техника, находящаяся в собственности организаций, расположенных на территории муниципального образования;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население Николаевского муниципального образования.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Для тушения пожаров и проведения аварийно-спасательных работ на территории Николаевского муниципального образования привлекаются следующие средства: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пожарная и специальная техника;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средства связи;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-огнетушащие вещества, находящиеся на вооружении в подразделениях пожарной охраны;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первичные средства пожаротушения, а также приспособления для целей пожаротушения, вспомогательная и водоподающая техника, в том числе техника организаций, предоставляемая на безвозмездной основе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1.4. Руководители организаций обязаны: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оказывать содействие пожарной охране при тушении пожара;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-предоставлять при тушении пожаров на территории организаций необходимые силы и средства;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>
      <w:pPr>
        <w:pStyle w:val="Style15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сообщать в пожарную охрану о состоянии дорог и изменении подъездов к объекту.</w:t>
      </w:r>
    </w:p>
    <w:p>
      <w:pPr>
        <w:pStyle w:val="Style15"/>
        <w:widowControl/>
        <w:spacing w:before="0" w:after="240"/>
        <w:ind w:left="0" w:right="0" w:firstLine="555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spacing w:before="0" w:after="240"/>
        <w:ind w:left="0" w:right="0" w:firstLine="555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4"/>
        </w:rPr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риложение №2</w:t>
      </w:r>
    </w:p>
    <w:p>
      <w:pPr>
        <w:pStyle w:val="ConsPlusTitle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от 24.06.2021г. №33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r>
    </w:p>
    <w:p>
      <w:pPr>
        <w:pStyle w:val="Style15"/>
        <w:widowControl/>
        <w:spacing w:before="0" w:after="240"/>
        <w:ind w:left="0" w:right="0" w:firstLine="555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План привлечения сил и средств на тушение пожаров и проведение аварийно-спасательных работ на территории Николаевского муниципального образования</w:t>
      </w:r>
    </w:p>
    <w:tbl>
      <w:tblPr>
        <w:tblW w:w="10425" w:type="dxa"/>
        <w:jc w:val="left"/>
        <w:tblInd w:w="-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9"/>
        <w:gridCol w:w="1920"/>
        <w:gridCol w:w="1290"/>
        <w:gridCol w:w="1860"/>
        <w:gridCol w:w="1275"/>
        <w:gridCol w:w="2099"/>
        <w:gridCol w:w="1351"/>
      </w:tblGrid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вызова пожарных частей и ДПД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Пожарные части и ДПД привлекаемые для тушения пожаров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до населенного пункта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с.Николаевка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01; 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5-10-28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5-44-23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ПЧ-41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«Целых В.В.»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КФХ «Теребилкин Ю.В.»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 30/53/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 1,5/53/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Водовозка</w:t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2768_3771954979"/>
            <w:bookmarkEnd w:id="0"/>
            <w:r>
              <w:rPr>
                <w:rFonts w:ascii="Times New Roman" w:hAnsi="Times New Roman"/>
                <w:sz w:val="28"/>
                <w:szCs w:val="28"/>
              </w:rPr>
              <w:t>Трактор с плугом Т-4 ТН-5-35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8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5"/>
        <w:widowControl/>
        <w:spacing w:before="0" w:after="240"/>
        <w:ind w:left="0" w:right="0" w:firstLine="555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240"/>
        <w:ind w:left="0" w:right="0" w:firstLine="555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240"/>
        <w:ind w:left="0" w:right="0" w:firstLine="555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</w:p>
    <w:p>
      <w:pPr>
        <w:pStyle w:val="Style15"/>
        <w:widowControl/>
        <w:spacing w:before="0" w:after="240"/>
        <w:ind w:left="0" w:right="0" w:firstLine="555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br/>
      </w:r>
    </w:p>
    <w:sectPr>
      <w:headerReference w:type="default" r:id="rId4"/>
      <w:type w:val="nextPage"/>
      <w:pgSz w:w="11906" w:h="16838"/>
      <w:pgMar w:left="1134" w:right="1134" w:header="1134" w:top="168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kern w:val="0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nla-service.scli.ru:8080/rnla-links/ws/content/act/" TargetMode="External"/><Relationship Id="rId3" Type="http://schemas.openxmlformats.org/officeDocument/2006/relationships/hyperlink" Target="http://rnla-service.scli.ru:8080/rnla-links/ws/content/act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LibreOffice/5.4.3.2$Windows_X86_64 LibreOffice_project/92a7159f7e4af62137622921e809f8546db437e5</Application>
  <Pages>5</Pages>
  <Words>652</Words>
  <Characters>4790</Characters>
  <CharactersWithSpaces>5474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2021-06-28T23:12:48Z</dcterms:modified>
  <cp:revision>12</cp:revision>
  <dc:subject/>
  <dc:title/>
</cp:coreProperties>
</file>