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72" w:rsidRDefault="00437B72" w:rsidP="00437B72"/>
    <w:p w:rsidR="00351CA6" w:rsidRPr="004C4D44" w:rsidRDefault="00351CA6" w:rsidP="00351C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51CA6" w:rsidRPr="004C4D44" w:rsidRDefault="00351CA6" w:rsidP="00351C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4C4D44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</w:p>
    <w:p w:rsidR="00351CA6" w:rsidRPr="004C4D44" w:rsidRDefault="00351CA6" w:rsidP="00351C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4">
        <w:rPr>
          <w:rFonts w:ascii="Times New Roman" w:hAnsi="Times New Roman" w:cs="Times New Roman"/>
          <w:b/>
          <w:sz w:val="28"/>
          <w:szCs w:val="28"/>
        </w:rPr>
        <w:t>ИВАНТЕЕВСКОГО  МУНИЦИПАЛЬНОГО РАЙОНА</w:t>
      </w:r>
    </w:p>
    <w:p w:rsidR="00351CA6" w:rsidRPr="004C4D44" w:rsidRDefault="00351CA6" w:rsidP="00351C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4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351CA6" w:rsidRDefault="00351CA6" w:rsidP="00351CA6">
      <w:pPr>
        <w:pStyle w:val="a4"/>
        <w:rPr>
          <w:szCs w:val="28"/>
        </w:rPr>
      </w:pPr>
    </w:p>
    <w:p w:rsidR="00351CA6" w:rsidRPr="007C0BAE" w:rsidRDefault="00351CA6" w:rsidP="00351CA6">
      <w:pPr>
        <w:pStyle w:val="a4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Тридцатое</w:t>
      </w:r>
      <w:r w:rsidRPr="007C0BAE">
        <w:rPr>
          <w:b w:val="0"/>
          <w:color w:val="000000"/>
          <w:szCs w:val="28"/>
        </w:rPr>
        <w:t xml:space="preserve"> заседание четвертого  созыва</w:t>
      </w:r>
    </w:p>
    <w:p w:rsidR="00351CA6" w:rsidRDefault="00351CA6" w:rsidP="00437B72">
      <w:pPr>
        <w:pStyle w:val="1"/>
        <w:jc w:val="center"/>
        <w:rPr>
          <w:b/>
        </w:rPr>
      </w:pPr>
    </w:p>
    <w:p w:rsidR="00437B72" w:rsidRDefault="00437B72" w:rsidP="00437B72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 </w:t>
      </w:r>
      <w:r w:rsidR="00351CA6">
        <w:rPr>
          <w:b/>
        </w:rPr>
        <w:t>14</w:t>
      </w:r>
    </w:p>
    <w:p w:rsidR="00437B72" w:rsidRDefault="00437B72" w:rsidP="00437B72">
      <w:pPr>
        <w:pStyle w:val="1"/>
        <w:rPr>
          <w:sz w:val="26"/>
        </w:rPr>
      </w:pPr>
    </w:p>
    <w:p w:rsidR="004F1A8A" w:rsidRDefault="00351C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D64D3">
        <w:rPr>
          <w:b/>
          <w:sz w:val="28"/>
          <w:szCs w:val="28"/>
        </w:rPr>
        <w:t xml:space="preserve">24.05.2018 года </w:t>
      </w:r>
      <w:r w:rsidR="00DD64D3">
        <w:rPr>
          <w:b/>
          <w:sz w:val="28"/>
          <w:szCs w:val="28"/>
        </w:rPr>
        <w:tab/>
      </w:r>
      <w:r w:rsidR="00DD64D3">
        <w:rPr>
          <w:b/>
          <w:sz w:val="28"/>
          <w:szCs w:val="28"/>
        </w:rPr>
        <w:tab/>
      </w:r>
      <w:r w:rsidR="00DD64D3">
        <w:rPr>
          <w:b/>
          <w:sz w:val="28"/>
          <w:szCs w:val="28"/>
        </w:rPr>
        <w:tab/>
      </w:r>
      <w:r w:rsidR="00DD64D3">
        <w:rPr>
          <w:b/>
          <w:sz w:val="28"/>
          <w:szCs w:val="28"/>
        </w:rPr>
        <w:tab/>
      </w:r>
      <w:r w:rsidR="00DD64D3">
        <w:rPr>
          <w:b/>
          <w:sz w:val="28"/>
          <w:szCs w:val="28"/>
        </w:rPr>
        <w:tab/>
      </w:r>
      <w:r w:rsidR="00DD64D3">
        <w:rPr>
          <w:b/>
          <w:sz w:val="28"/>
          <w:szCs w:val="28"/>
        </w:rPr>
        <w:tab/>
      </w:r>
      <w:r w:rsidR="00DD64D3">
        <w:rPr>
          <w:b/>
          <w:sz w:val="28"/>
          <w:szCs w:val="28"/>
        </w:rPr>
        <w:tab/>
      </w:r>
      <w:proofErr w:type="gramStart"/>
      <w:r w:rsidR="00DD64D3">
        <w:rPr>
          <w:b/>
          <w:sz w:val="28"/>
          <w:szCs w:val="28"/>
        </w:rPr>
        <w:t>с</w:t>
      </w:r>
      <w:proofErr w:type="gramEnd"/>
      <w:r w:rsidR="00DD64D3">
        <w:rPr>
          <w:b/>
          <w:sz w:val="28"/>
          <w:szCs w:val="28"/>
        </w:rPr>
        <w:t>. Николаевка</w:t>
      </w:r>
      <w:r>
        <w:rPr>
          <w:b/>
          <w:sz w:val="28"/>
          <w:szCs w:val="28"/>
        </w:rPr>
        <w:t xml:space="preserve"> </w:t>
      </w:r>
    </w:p>
    <w:p w:rsidR="00DD64D3" w:rsidRDefault="00DD64D3">
      <w:pPr>
        <w:rPr>
          <w:b/>
        </w:rPr>
      </w:pPr>
    </w:p>
    <w:p w:rsidR="00487AF9" w:rsidRPr="00981B68" w:rsidRDefault="00487AF9">
      <w:pPr>
        <w:rPr>
          <w:b/>
        </w:rPr>
      </w:pPr>
      <w:r w:rsidRPr="00981B68">
        <w:rPr>
          <w:b/>
        </w:rPr>
        <w:t xml:space="preserve">Об утверждении отчета </w:t>
      </w:r>
      <w:proofErr w:type="gramStart"/>
      <w:r w:rsidRPr="00981B68">
        <w:rPr>
          <w:b/>
        </w:rPr>
        <w:t>об</w:t>
      </w:r>
      <w:proofErr w:type="gramEnd"/>
    </w:p>
    <w:p w:rsidR="004F1A8A" w:rsidRPr="00981B68" w:rsidRDefault="00487AF9">
      <w:pPr>
        <w:rPr>
          <w:b/>
        </w:rPr>
      </w:pPr>
      <w:r w:rsidRPr="00981B68">
        <w:rPr>
          <w:b/>
        </w:rPr>
        <w:t xml:space="preserve"> </w:t>
      </w:r>
      <w:proofErr w:type="gramStart"/>
      <w:r w:rsidRPr="00981B68">
        <w:rPr>
          <w:b/>
        </w:rPr>
        <w:t>исполнении</w:t>
      </w:r>
      <w:proofErr w:type="gramEnd"/>
      <w:r w:rsidRPr="00981B68">
        <w:rPr>
          <w:b/>
        </w:rPr>
        <w:t xml:space="preserve">  бюджета</w:t>
      </w:r>
      <w:r w:rsidR="004F1A8A" w:rsidRPr="00981B68">
        <w:rPr>
          <w:b/>
        </w:rPr>
        <w:t xml:space="preserve"> </w:t>
      </w:r>
      <w:r w:rsidR="0080128C">
        <w:rPr>
          <w:b/>
        </w:rPr>
        <w:t>Никола</w:t>
      </w:r>
      <w:r w:rsidR="00F9631A">
        <w:rPr>
          <w:b/>
        </w:rPr>
        <w:t>е</w:t>
      </w:r>
      <w:r w:rsidR="0080128C">
        <w:rPr>
          <w:b/>
        </w:rPr>
        <w:t>вского</w:t>
      </w:r>
    </w:p>
    <w:p w:rsidR="004F1A8A" w:rsidRDefault="00AC7D84">
      <w:pPr>
        <w:rPr>
          <w:b/>
        </w:rPr>
      </w:pPr>
      <w:r w:rsidRPr="00981B68">
        <w:rPr>
          <w:b/>
        </w:rPr>
        <w:t xml:space="preserve">муниципального </w:t>
      </w:r>
      <w:r w:rsidR="00A821DD" w:rsidRPr="00981B68">
        <w:rPr>
          <w:b/>
        </w:rPr>
        <w:t>образования</w:t>
      </w:r>
      <w:r w:rsidRPr="00981B68">
        <w:rPr>
          <w:b/>
        </w:rPr>
        <w:t xml:space="preserve"> з</w:t>
      </w:r>
      <w:r w:rsidR="00F95328" w:rsidRPr="00981B68">
        <w:rPr>
          <w:b/>
        </w:rPr>
        <w:t>а 20</w:t>
      </w:r>
      <w:r w:rsidR="00930401">
        <w:rPr>
          <w:b/>
        </w:rPr>
        <w:t>1</w:t>
      </w:r>
      <w:r w:rsidR="00652565">
        <w:rPr>
          <w:b/>
        </w:rPr>
        <w:t>7</w:t>
      </w:r>
      <w:r w:rsidR="003021F1">
        <w:rPr>
          <w:b/>
        </w:rPr>
        <w:t xml:space="preserve"> </w:t>
      </w:r>
      <w:r w:rsidR="004F1A8A" w:rsidRPr="00981B68">
        <w:rPr>
          <w:b/>
        </w:rPr>
        <w:t>год</w:t>
      </w:r>
      <w:r w:rsidR="001D2FB1">
        <w:rPr>
          <w:b/>
        </w:rPr>
        <w:t xml:space="preserve">    </w:t>
      </w:r>
    </w:p>
    <w:p w:rsidR="001D2FB1" w:rsidRPr="00981B68" w:rsidRDefault="001D2FB1">
      <w:pPr>
        <w:rPr>
          <w:b/>
        </w:rPr>
      </w:pPr>
    </w:p>
    <w:p w:rsidR="00F95328" w:rsidRDefault="00E1462F" w:rsidP="00351CA6">
      <w:pPr>
        <w:pStyle w:val="21"/>
        <w:tabs>
          <w:tab w:val="left" w:pos="1134"/>
        </w:tabs>
        <w:ind w:firstLine="851"/>
        <w:jc w:val="both"/>
        <w:rPr>
          <w:b/>
        </w:rPr>
      </w:pPr>
      <w:r>
        <w:t xml:space="preserve">     </w:t>
      </w:r>
      <w:r w:rsidR="00F95328" w:rsidRPr="00F95328">
        <w:t xml:space="preserve"> В </w:t>
      </w:r>
      <w:r w:rsidRPr="00F95328">
        <w:t>соо</w:t>
      </w:r>
      <w:r>
        <w:t>тветствии со ст.264</w:t>
      </w:r>
      <w:r w:rsidR="00652565">
        <w:t>.1</w:t>
      </w:r>
      <w:r>
        <w:t xml:space="preserve"> Бюджетного Кодекса  РФ и на  основании  ст. Устава </w:t>
      </w:r>
      <w:r w:rsidR="00142434">
        <w:t>Николаевского</w:t>
      </w:r>
      <w:r>
        <w:t xml:space="preserve"> муниципального </w:t>
      </w:r>
      <w:r w:rsidR="00142434">
        <w:t>образования</w:t>
      </w:r>
      <w:r>
        <w:t xml:space="preserve"> </w:t>
      </w:r>
      <w:r w:rsidR="00142434">
        <w:t>Совет Николаевского муниципального образования</w:t>
      </w:r>
      <w:r>
        <w:t xml:space="preserve">  </w:t>
      </w:r>
      <w:r w:rsidRPr="00E1462F">
        <w:rPr>
          <w:b/>
        </w:rPr>
        <w:t>РЕШИЛ</w:t>
      </w:r>
      <w:r>
        <w:rPr>
          <w:b/>
        </w:rPr>
        <w:t>:</w:t>
      </w:r>
    </w:p>
    <w:p w:rsidR="00E1462F" w:rsidRPr="00E1462F" w:rsidRDefault="00E1462F" w:rsidP="00351CA6">
      <w:pPr>
        <w:pStyle w:val="21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E1462F">
        <w:t xml:space="preserve"> Утвердить отчет об исполнении бюджета  </w:t>
      </w:r>
      <w:r w:rsidR="0080128C">
        <w:t>Николаевского</w:t>
      </w:r>
      <w:r w:rsidRPr="00E1462F">
        <w:t xml:space="preserve"> муниципального </w:t>
      </w:r>
      <w:r w:rsidR="00A821DD">
        <w:t>образования</w:t>
      </w:r>
      <w:r w:rsidRPr="00E1462F">
        <w:t xml:space="preserve">  за 20</w:t>
      </w:r>
      <w:r w:rsidR="00930401">
        <w:t>1</w:t>
      </w:r>
      <w:r w:rsidR="00652565">
        <w:t>7</w:t>
      </w:r>
      <w:r w:rsidRPr="00E1462F">
        <w:t xml:space="preserve"> год:</w:t>
      </w:r>
    </w:p>
    <w:p w:rsidR="00E1462F" w:rsidRPr="009F6FAA" w:rsidRDefault="009E0109" w:rsidP="00351CA6">
      <w:pPr>
        <w:pStyle w:val="21"/>
        <w:tabs>
          <w:tab w:val="left" w:pos="1134"/>
        </w:tabs>
        <w:ind w:firstLine="851"/>
        <w:jc w:val="both"/>
        <w:rPr>
          <w:color w:val="000000"/>
        </w:rPr>
      </w:pPr>
      <w:r>
        <w:t xml:space="preserve">      </w:t>
      </w:r>
      <w:r w:rsidRPr="009F6FAA">
        <w:rPr>
          <w:color w:val="000000"/>
        </w:rPr>
        <w:t>по до</w:t>
      </w:r>
      <w:r w:rsidR="00930401" w:rsidRPr="009F6FAA">
        <w:rPr>
          <w:color w:val="000000"/>
        </w:rPr>
        <w:t xml:space="preserve">ходам  в сумме </w:t>
      </w:r>
      <w:r w:rsidR="00652565">
        <w:rPr>
          <w:color w:val="000000"/>
        </w:rPr>
        <w:t>1225,1</w:t>
      </w:r>
      <w:r w:rsidR="00183F72" w:rsidRPr="009F6FAA">
        <w:rPr>
          <w:color w:val="000000"/>
        </w:rPr>
        <w:t xml:space="preserve"> </w:t>
      </w:r>
      <w:r w:rsidRPr="009F6FAA">
        <w:rPr>
          <w:color w:val="000000"/>
        </w:rPr>
        <w:t xml:space="preserve">тыс. руб., </w:t>
      </w:r>
      <w:r w:rsidR="00487AF9" w:rsidRPr="009F6FAA">
        <w:rPr>
          <w:color w:val="000000"/>
        </w:rPr>
        <w:t xml:space="preserve">расходам </w:t>
      </w:r>
      <w:r w:rsidRPr="009F6FAA">
        <w:rPr>
          <w:color w:val="000000"/>
        </w:rPr>
        <w:t>в сумме</w:t>
      </w:r>
      <w:r w:rsidR="00142434" w:rsidRPr="009F6FAA">
        <w:rPr>
          <w:color w:val="000000"/>
        </w:rPr>
        <w:t xml:space="preserve"> </w:t>
      </w:r>
      <w:r w:rsidR="003021F1">
        <w:rPr>
          <w:color w:val="000000"/>
        </w:rPr>
        <w:t>12</w:t>
      </w:r>
      <w:r w:rsidR="00652565">
        <w:rPr>
          <w:color w:val="000000"/>
        </w:rPr>
        <w:t>63,8</w:t>
      </w:r>
      <w:r w:rsidR="00930401" w:rsidRPr="009F6FAA">
        <w:rPr>
          <w:color w:val="000000"/>
        </w:rPr>
        <w:t xml:space="preserve"> тыс.</w:t>
      </w:r>
      <w:r w:rsidR="00C87A4B">
        <w:rPr>
          <w:color w:val="000000"/>
        </w:rPr>
        <w:t xml:space="preserve"> </w:t>
      </w:r>
      <w:r w:rsidR="00930401" w:rsidRPr="009F6FAA">
        <w:rPr>
          <w:color w:val="000000"/>
        </w:rPr>
        <w:t>руб</w:t>
      </w:r>
      <w:r w:rsidR="00C87A4B">
        <w:rPr>
          <w:color w:val="000000"/>
        </w:rPr>
        <w:t>.</w:t>
      </w:r>
      <w:r w:rsidR="00930401" w:rsidRPr="009F6FAA">
        <w:rPr>
          <w:color w:val="000000"/>
        </w:rPr>
        <w:t xml:space="preserve">  и </w:t>
      </w:r>
      <w:r w:rsidR="003021F1">
        <w:rPr>
          <w:color w:val="000000"/>
        </w:rPr>
        <w:t>де</w:t>
      </w:r>
      <w:r w:rsidRPr="009F6FAA">
        <w:rPr>
          <w:color w:val="000000"/>
        </w:rPr>
        <w:t>ф</w:t>
      </w:r>
      <w:r w:rsidR="001D2FB1" w:rsidRPr="009F6FAA">
        <w:rPr>
          <w:color w:val="000000"/>
        </w:rPr>
        <w:t>и</w:t>
      </w:r>
      <w:r w:rsidRPr="009F6FAA">
        <w:rPr>
          <w:color w:val="000000"/>
        </w:rPr>
        <w:t>цитом  в сумме</w:t>
      </w:r>
      <w:r w:rsidR="00142434" w:rsidRPr="009F6FAA">
        <w:rPr>
          <w:color w:val="000000"/>
        </w:rPr>
        <w:t xml:space="preserve"> </w:t>
      </w:r>
      <w:r w:rsidR="00652565">
        <w:rPr>
          <w:color w:val="000000"/>
        </w:rPr>
        <w:t xml:space="preserve">38,7 </w:t>
      </w:r>
      <w:r w:rsidR="006414E5" w:rsidRPr="009F6FAA">
        <w:rPr>
          <w:color w:val="000000"/>
        </w:rPr>
        <w:t>тыс.</w:t>
      </w:r>
      <w:r w:rsidR="00C87A4B">
        <w:rPr>
          <w:color w:val="000000"/>
        </w:rPr>
        <w:t xml:space="preserve"> </w:t>
      </w:r>
      <w:r w:rsidR="006414E5" w:rsidRPr="009F6FAA">
        <w:rPr>
          <w:color w:val="000000"/>
        </w:rPr>
        <w:t>руб.</w:t>
      </w:r>
    </w:p>
    <w:p w:rsidR="00142434" w:rsidRDefault="00142434" w:rsidP="00351CA6">
      <w:pPr>
        <w:pStyle w:val="21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>
        <w:t xml:space="preserve">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142434" w:rsidRDefault="00142434" w:rsidP="00351CA6">
      <w:pPr>
        <w:pStyle w:val="21"/>
        <w:tabs>
          <w:tab w:val="left" w:pos="1134"/>
        </w:tabs>
        <w:ind w:firstLine="851"/>
        <w:jc w:val="both"/>
      </w:pPr>
      <w:r>
        <w:t xml:space="preserve">      доходам в бюджет муниципального </w:t>
      </w:r>
      <w:r w:rsidR="0000780D">
        <w:t>образования</w:t>
      </w:r>
      <w:r w:rsidR="00930401">
        <w:t xml:space="preserve"> за 201</w:t>
      </w:r>
      <w:r w:rsidR="00652565">
        <w:t>7</w:t>
      </w:r>
      <w:r>
        <w:t xml:space="preserve"> год по кодам классификации доходов бюджетов  согласно приложению 1 к настоящему решению;</w:t>
      </w:r>
    </w:p>
    <w:p w:rsidR="00142434" w:rsidRDefault="00142434" w:rsidP="00351CA6">
      <w:pPr>
        <w:pStyle w:val="21"/>
        <w:tabs>
          <w:tab w:val="left" w:pos="1134"/>
        </w:tabs>
        <w:ind w:firstLine="851"/>
        <w:jc w:val="both"/>
      </w:pPr>
      <w:r>
        <w:t xml:space="preserve">    расходам  бюджета  по ведомственной структуре расходов бюджета </w:t>
      </w:r>
      <w:r w:rsidR="007024DE">
        <w:t>муниципального образования за 2017 год</w:t>
      </w:r>
      <w:r>
        <w:t xml:space="preserve"> согласно приложению </w:t>
      </w:r>
      <w:r w:rsidR="001B5CCD">
        <w:t>2</w:t>
      </w:r>
      <w:r>
        <w:t xml:space="preserve"> к настоящему решению;</w:t>
      </w:r>
    </w:p>
    <w:p w:rsidR="00142434" w:rsidRDefault="00142434" w:rsidP="00351CA6">
      <w:pPr>
        <w:pStyle w:val="21"/>
        <w:tabs>
          <w:tab w:val="left" w:pos="1134"/>
        </w:tabs>
        <w:ind w:firstLine="851"/>
        <w:jc w:val="both"/>
      </w:pPr>
      <w:r>
        <w:t xml:space="preserve">    расходам бюджета</w:t>
      </w:r>
      <w:r w:rsidR="007024DE" w:rsidRPr="007024DE">
        <w:t xml:space="preserve"> </w:t>
      </w:r>
      <w:r w:rsidR="007024DE">
        <w:t>муниципального образования за 2017 год</w:t>
      </w:r>
      <w:r>
        <w:t xml:space="preserve"> по разделам и подразделам классификации расходов бюджета  согласно приложению </w:t>
      </w:r>
      <w:r w:rsidR="001B5CCD">
        <w:t>3</w:t>
      </w:r>
      <w:r>
        <w:t xml:space="preserve">  к настоящему решению;</w:t>
      </w:r>
    </w:p>
    <w:p w:rsidR="00142434" w:rsidRDefault="00142434" w:rsidP="00351CA6">
      <w:pPr>
        <w:pStyle w:val="21"/>
        <w:tabs>
          <w:tab w:val="left" w:pos="1134"/>
        </w:tabs>
        <w:ind w:firstLine="851"/>
        <w:jc w:val="both"/>
      </w:pPr>
      <w:r>
        <w:t xml:space="preserve">    источником финансирования дефицита бюджета</w:t>
      </w:r>
      <w:r w:rsidR="00A7110A" w:rsidRPr="00A7110A">
        <w:t xml:space="preserve"> </w:t>
      </w:r>
      <w:r w:rsidR="00A7110A">
        <w:t>муниципального образования за 2017 год</w:t>
      </w:r>
      <w:r>
        <w:t xml:space="preserve"> по кодам классификации  источников  финансирования дефицитов бюджетов согласно приложению</w:t>
      </w:r>
      <w:r w:rsidR="001B5CCD">
        <w:t xml:space="preserve"> 4</w:t>
      </w:r>
      <w:r>
        <w:t xml:space="preserve">  к настоящему решению</w:t>
      </w:r>
      <w:r w:rsidR="001B5CCD">
        <w:t>.</w:t>
      </w:r>
    </w:p>
    <w:p w:rsidR="00F9631A" w:rsidRDefault="00227DED" w:rsidP="00351CA6">
      <w:pPr>
        <w:pStyle w:val="21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>
        <w:t>Настоящее решение опубликовать</w:t>
      </w:r>
      <w:r w:rsidR="00930401">
        <w:t xml:space="preserve"> в газете «</w:t>
      </w:r>
      <w:r w:rsidR="00351CA6">
        <w:t>Николаевский вестник</w:t>
      </w:r>
      <w:r w:rsidR="00F9631A">
        <w:t>».</w:t>
      </w:r>
    </w:p>
    <w:p w:rsidR="00F9631A" w:rsidRDefault="00F9631A" w:rsidP="00351CA6">
      <w:pPr>
        <w:pStyle w:val="21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>
        <w:t>Решение вступает в силу с момента опубликования.</w:t>
      </w:r>
    </w:p>
    <w:p w:rsidR="00F95328" w:rsidRDefault="00F95328" w:rsidP="00C95EE5">
      <w:pPr>
        <w:pStyle w:val="21"/>
        <w:jc w:val="both"/>
      </w:pPr>
    </w:p>
    <w:p w:rsidR="00351CA6" w:rsidRDefault="00351CA6" w:rsidP="00142434">
      <w:pPr>
        <w:pStyle w:val="Oaenoaieoiaioa"/>
        <w:ind w:firstLine="0"/>
        <w:rPr>
          <w:b/>
          <w:szCs w:val="28"/>
        </w:rPr>
      </w:pPr>
    </w:p>
    <w:p w:rsidR="00351CA6" w:rsidRDefault="00142434" w:rsidP="0014243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Николаевского</w:t>
      </w:r>
      <w:proofErr w:type="gramEnd"/>
      <w:r>
        <w:rPr>
          <w:b/>
          <w:szCs w:val="28"/>
        </w:rPr>
        <w:t xml:space="preserve">  </w:t>
      </w:r>
    </w:p>
    <w:p w:rsidR="00142434" w:rsidRDefault="00142434" w:rsidP="0014243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 образования                                       </w:t>
      </w:r>
      <w:r w:rsidR="00351CA6">
        <w:rPr>
          <w:b/>
          <w:szCs w:val="28"/>
        </w:rPr>
        <w:t>А.А. Демидов</w:t>
      </w:r>
      <w:r>
        <w:rPr>
          <w:b/>
          <w:szCs w:val="28"/>
        </w:rPr>
        <w:t xml:space="preserve">                                                                            </w:t>
      </w:r>
    </w:p>
    <w:p w:rsidR="004F1A8A" w:rsidRDefault="004F1A8A"/>
    <w:p w:rsidR="00DD64D3" w:rsidRDefault="00DD64D3"/>
    <w:p w:rsidR="00DD64D3" w:rsidRDefault="00DD64D3"/>
    <w:p w:rsidR="00DD64D3" w:rsidRDefault="00DD64D3"/>
    <w:p w:rsidR="00DD64D3" w:rsidRDefault="00DD64D3"/>
    <w:p w:rsidR="00DD64D3" w:rsidRDefault="00DD64D3"/>
    <w:p w:rsidR="00DD64D3" w:rsidRDefault="00DD64D3" w:rsidP="00DD64D3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№1  к решению Совета              </w:t>
      </w:r>
    </w:p>
    <w:p w:rsidR="00DD64D3" w:rsidRDefault="00DD64D3" w:rsidP="00DD64D3">
      <w:pPr>
        <w:jc w:val="right"/>
        <w:rPr>
          <w:sz w:val="20"/>
        </w:rPr>
      </w:pPr>
      <w:r>
        <w:rPr>
          <w:sz w:val="20"/>
        </w:rPr>
        <w:t>Николаевского муниципального</w:t>
      </w:r>
    </w:p>
    <w:p w:rsidR="00DD64D3" w:rsidRDefault="00DD64D3" w:rsidP="00DD64D3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образования  от             2018г  №</w:t>
      </w:r>
    </w:p>
    <w:p w:rsidR="00DD64D3" w:rsidRDefault="00DD64D3" w:rsidP="00DD64D3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DD64D3" w:rsidRDefault="00DD64D3" w:rsidP="00DD64D3">
      <w:pPr>
        <w:jc w:val="right"/>
        <w:rPr>
          <w:sz w:val="20"/>
        </w:rPr>
      </w:pPr>
      <w:r>
        <w:rPr>
          <w:sz w:val="20"/>
        </w:rPr>
        <w:t>бюджета Николаевского муниципального</w:t>
      </w:r>
    </w:p>
    <w:p w:rsidR="00DD64D3" w:rsidRDefault="00DD64D3" w:rsidP="00DD64D3">
      <w:pPr>
        <w:jc w:val="right"/>
      </w:pPr>
      <w:r>
        <w:rPr>
          <w:sz w:val="20"/>
        </w:rPr>
        <w:t>образования за 2017 год»</w:t>
      </w:r>
    </w:p>
    <w:p w:rsidR="00DD64D3" w:rsidRPr="00627699" w:rsidRDefault="00DD64D3" w:rsidP="00DD64D3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64D3" w:rsidRPr="00627699" w:rsidRDefault="00DD64D3" w:rsidP="00DD64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7699">
        <w:rPr>
          <w:rFonts w:ascii="Times New Roman" w:hAnsi="Times New Roman" w:cs="Times New Roman"/>
          <w:sz w:val="24"/>
          <w:szCs w:val="24"/>
        </w:rPr>
        <w:t>ДОХОДЫ БЮДЖЕТА НИКОЛАЕВСКОГО  МУНИЦИПАЛЬНОГО ОБРАЗОВАНИЯ ИВАНТЕЕВСКОГО МУНИЦИПАЛЬНОГО РАЙОНА ЗА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627699">
        <w:rPr>
          <w:rFonts w:ascii="Times New Roman" w:hAnsi="Times New Roman" w:cs="Times New Roman"/>
          <w:sz w:val="24"/>
          <w:szCs w:val="24"/>
        </w:rPr>
        <w:t>ГОД</w:t>
      </w:r>
    </w:p>
    <w:p w:rsidR="00DD64D3" w:rsidRPr="002A6467" w:rsidRDefault="00DD64D3" w:rsidP="00DD64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7699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DD64D3" w:rsidRPr="00A51A1C" w:rsidRDefault="00DD64D3" w:rsidP="00DD64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1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51A1C">
        <w:rPr>
          <w:rFonts w:ascii="Times New Roman" w:hAnsi="Times New Roman" w:cs="Times New Roman"/>
          <w:sz w:val="24"/>
          <w:szCs w:val="24"/>
        </w:rPr>
        <w:t xml:space="preserve">  (тыс</w:t>
      </w:r>
      <w:proofErr w:type="gramStart"/>
      <w:r w:rsidRPr="00A51A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1A1C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9"/>
        <w:gridCol w:w="2976"/>
        <w:gridCol w:w="851"/>
      </w:tblGrid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4264B4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</w:tr>
      <w:tr w:rsidR="00DD64D3" w:rsidRPr="00DB70DC" w:rsidTr="00DD64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1126,7</w:t>
            </w:r>
          </w:p>
        </w:tc>
      </w:tr>
      <w:tr w:rsidR="00DD64D3" w:rsidRPr="00DB70DC" w:rsidTr="00DD64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1 01 02000 01 0000 110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</w:tr>
      <w:tr w:rsidR="00DD64D3" w:rsidRPr="00B06955" w:rsidTr="00DD64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B06955" w:rsidRDefault="00DD64D3" w:rsidP="007B34A0">
            <w:pPr>
              <w:rPr>
                <w:color w:val="000000"/>
              </w:rPr>
            </w:pPr>
            <w:r w:rsidRPr="00B0695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06955">
              <w:rPr>
                <w:color w:val="000000"/>
                <w:vertAlign w:val="superscript"/>
              </w:rPr>
              <w:t>1</w:t>
            </w:r>
            <w:r w:rsidRPr="00B06955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B06955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B06955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B06955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DD64D3" w:rsidRPr="00B06955" w:rsidTr="00DD64D3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B06955" w:rsidRDefault="00DD64D3" w:rsidP="007B34A0">
            <w:pPr>
              <w:rPr>
                <w:color w:val="000000"/>
              </w:rPr>
            </w:pPr>
            <w:r w:rsidRPr="00B06955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B06955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B06955">
              <w:rPr>
                <w:rFonts w:ascii="Times New Roman" w:hAnsi="Times New Roman" w:cs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B06955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1 05 00000 00 0000 000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</w:t>
            </w: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> 106 00000 00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847,6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 106 01030 00 0000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DD64D3" w:rsidRPr="00E72789" w:rsidTr="00DD64D3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E72789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E72789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b/>
                <w:sz w:val="24"/>
                <w:szCs w:val="24"/>
              </w:rPr>
              <w:t>182 106 06000 00 0000 110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E72789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689,9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7147C8" w:rsidRDefault="00DD64D3" w:rsidP="007B34A0">
            <w:r w:rsidRPr="007147C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7147C8" w:rsidRDefault="00DD64D3" w:rsidP="00DD64D3">
            <w:pPr>
              <w:ind w:left="-70" w:right="-70"/>
              <w:jc w:val="center"/>
            </w:pPr>
            <w:r w:rsidRPr="007147C8">
              <w:t>182 106 06033 10 0000 110</w:t>
            </w:r>
          </w:p>
          <w:p w:rsidR="00DD64D3" w:rsidRPr="007147C8" w:rsidRDefault="00DD64D3" w:rsidP="00DD64D3">
            <w:pPr>
              <w:ind w:left="-70" w:right="-7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7147C8" w:rsidRDefault="00DD64D3" w:rsidP="007B34A0">
            <w:r w:rsidRPr="007147C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7147C8" w:rsidRDefault="00DD64D3" w:rsidP="00DD64D3">
            <w:pPr>
              <w:ind w:left="-70" w:right="-70"/>
              <w:jc w:val="center"/>
            </w:pPr>
            <w:r w:rsidRPr="007147C8">
              <w:t>182 106 06043 10 0000 110</w:t>
            </w:r>
          </w:p>
          <w:p w:rsidR="00DD64D3" w:rsidRPr="007147C8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93C1C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1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 имущества,</w:t>
            </w:r>
            <w:r w:rsidRPr="00D93C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находящегося  в  государственной  и</w:t>
            </w:r>
            <w:r w:rsidRPr="00D93C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собственности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93C1C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Pr="00D9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1 11 00000 00 0000 000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93C1C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93C1C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311 111 05035 10 0000 120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311 1 13 00000 00 0000 000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DD64D3" w:rsidRPr="00135370" w:rsidTr="00DD64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135370" w:rsidRDefault="00DD64D3" w:rsidP="007B34A0">
            <w:pPr>
              <w:rPr>
                <w:color w:val="000000"/>
              </w:rPr>
            </w:pPr>
            <w:r w:rsidRPr="00135370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135370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135370">
              <w:rPr>
                <w:rFonts w:ascii="Times New Roman" w:hAnsi="Times New Roman" w:cs="Times New Roman"/>
                <w:sz w:val="24"/>
                <w:szCs w:val="24"/>
              </w:rPr>
              <w:t xml:space="preserve"> 1 13 02060 10 0000 130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135370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Pr="0042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4B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4B4">
              <w:rPr>
                <w:rFonts w:ascii="Times New Roman" w:hAnsi="Times New Roman" w:cs="Times New Roman"/>
                <w:b/>
                <w:sz w:val="24"/>
                <w:szCs w:val="24"/>
              </w:rPr>
              <w:t>00000 00 0000 000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9206F5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5">
              <w:rPr>
                <w:rFonts w:ascii="Times New Roman" w:hAnsi="Times New Roman" w:cs="Times New Roman"/>
                <w:sz w:val="24"/>
                <w:szCs w:val="24"/>
              </w:rPr>
              <w:t xml:space="preserve">Дотация бюджетам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выравнивание бюджетной обеспеченности поселений за счет субвенций из областного фонда компенсации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B64CD9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311 2 02 01001 10 0001</w:t>
            </w:r>
            <w:r w:rsidRPr="00B64CD9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DD64D3" w:rsidRPr="004264B4" w:rsidTr="00DD64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4264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где отсутствует военные комиссариаты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F659E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DF659E">
              <w:rPr>
                <w:rFonts w:ascii="Times New Roman" w:hAnsi="Times New Roman" w:cs="Times New Roman"/>
                <w:sz w:val="24"/>
                <w:szCs w:val="24"/>
              </w:rPr>
              <w:t xml:space="preserve"> 2 02 03015 10 0000 151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F659E" w:rsidRDefault="00DD64D3" w:rsidP="007B34A0">
            <w:pPr>
              <w:jc w:val="right"/>
            </w:pPr>
            <w:r>
              <w:t>67,7</w:t>
            </w:r>
          </w:p>
        </w:tc>
      </w:tr>
      <w:tr w:rsidR="00DD64D3" w:rsidRPr="00152B66" w:rsidTr="00DD64D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DB70DC" w:rsidRDefault="00DD64D3" w:rsidP="007B3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4264B4" w:rsidRDefault="00DD64D3" w:rsidP="00DD64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D3" w:rsidRPr="00152B66" w:rsidRDefault="00DD64D3" w:rsidP="007B34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B66">
              <w:rPr>
                <w:rFonts w:ascii="Times New Roman" w:hAnsi="Times New Roman" w:cs="Times New Roman"/>
                <w:b/>
                <w:sz w:val="24"/>
                <w:szCs w:val="24"/>
              </w:rPr>
              <w:t>1225,1</w:t>
            </w:r>
          </w:p>
        </w:tc>
      </w:tr>
    </w:tbl>
    <w:p w:rsidR="00DD64D3" w:rsidRDefault="00DD64D3" w:rsidP="00DD64D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DD64D3" w:rsidRDefault="00DD64D3" w:rsidP="00DD64D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                       А.А. Демидов      </w:t>
      </w:r>
    </w:p>
    <w:p w:rsidR="00287EAE" w:rsidRDefault="00287EAE" w:rsidP="00DD64D3">
      <w:pPr>
        <w:jc w:val="right"/>
        <w:rPr>
          <w:sz w:val="20"/>
        </w:rPr>
      </w:pPr>
    </w:p>
    <w:p w:rsidR="00DD64D3" w:rsidRDefault="00DD64D3" w:rsidP="00DD64D3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2  к решению Совета              </w:t>
      </w:r>
    </w:p>
    <w:p w:rsidR="00DD64D3" w:rsidRDefault="00DD64D3" w:rsidP="00DD64D3">
      <w:pPr>
        <w:jc w:val="right"/>
        <w:rPr>
          <w:sz w:val="20"/>
        </w:rPr>
      </w:pPr>
      <w:r>
        <w:rPr>
          <w:sz w:val="20"/>
        </w:rPr>
        <w:t>Николаевского муниципального</w:t>
      </w:r>
    </w:p>
    <w:p w:rsidR="00DD64D3" w:rsidRDefault="00DD64D3" w:rsidP="00DD64D3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образования  от             2018 г  №</w:t>
      </w:r>
    </w:p>
    <w:p w:rsidR="00DD64D3" w:rsidRDefault="00DD64D3" w:rsidP="00DD64D3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DD64D3" w:rsidRDefault="00DD64D3" w:rsidP="00DD64D3">
      <w:pPr>
        <w:jc w:val="right"/>
        <w:rPr>
          <w:sz w:val="20"/>
        </w:rPr>
      </w:pPr>
      <w:r>
        <w:rPr>
          <w:sz w:val="20"/>
        </w:rPr>
        <w:t>бюджета Николаевского муниципального</w:t>
      </w:r>
    </w:p>
    <w:p w:rsidR="00DD64D3" w:rsidRDefault="00DD64D3" w:rsidP="00DD64D3">
      <w:pPr>
        <w:jc w:val="right"/>
      </w:pPr>
      <w:r>
        <w:rPr>
          <w:sz w:val="20"/>
        </w:rPr>
        <w:t>образования за 2017год»</w:t>
      </w:r>
    </w:p>
    <w:p w:rsidR="00DD64D3" w:rsidRDefault="00DD64D3" w:rsidP="00DD64D3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Расходы по ведомственной структуре расходов бюджета</w:t>
      </w:r>
    </w:p>
    <w:p w:rsidR="00DD64D3" w:rsidRDefault="00DD64D3" w:rsidP="00DD6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Николаевского муниципального образования за 2017 год</w:t>
      </w:r>
    </w:p>
    <w:p w:rsidR="00DD64D3" w:rsidRPr="00267AF0" w:rsidRDefault="00DD64D3" w:rsidP="00DD64D3">
      <w:pPr>
        <w:tabs>
          <w:tab w:val="left" w:pos="8100"/>
        </w:tabs>
        <w:rPr>
          <w:b/>
          <w:sz w:val="22"/>
          <w:szCs w:val="22"/>
        </w:rPr>
      </w:pPr>
      <w:r>
        <w:tab/>
        <w:t xml:space="preserve">                                    </w:t>
      </w:r>
    </w:p>
    <w:p w:rsidR="00DD64D3" w:rsidRPr="00267AF0" w:rsidRDefault="00DD64D3" w:rsidP="00DD64D3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DD64D3" w:rsidRPr="00267AF0" w:rsidRDefault="00DD64D3" w:rsidP="00287EAE">
      <w:pPr>
        <w:jc w:val="right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267AF0">
        <w:rPr>
          <w:sz w:val="22"/>
          <w:szCs w:val="22"/>
        </w:rPr>
        <w:t>тыс. 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709"/>
        <w:gridCol w:w="709"/>
        <w:gridCol w:w="709"/>
        <w:gridCol w:w="1559"/>
        <w:gridCol w:w="850"/>
        <w:gridCol w:w="993"/>
      </w:tblGrid>
      <w:tr w:rsidR="00DD64D3" w:rsidRPr="00267AF0" w:rsidTr="00DD64D3">
        <w:trPr>
          <w:trHeight w:val="870"/>
        </w:trPr>
        <w:tc>
          <w:tcPr>
            <w:tcW w:w="5245" w:type="dxa"/>
            <w:shd w:val="clear" w:color="auto" w:fill="auto"/>
            <w:noWrap/>
            <w:vAlign w:val="center"/>
          </w:tcPr>
          <w:p w:rsidR="00DD64D3" w:rsidRPr="00267AF0" w:rsidRDefault="00DD64D3" w:rsidP="007B34A0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DD64D3" w:rsidRPr="00267AF0" w:rsidRDefault="00DD64D3" w:rsidP="007B34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64D3" w:rsidRPr="00267AF0" w:rsidRDefault="00DD64D3" w:rsidP="007B3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267AF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4D3" w:rsidRPr="00267AF0" w:rsidRDefault="00DD64D3" w:rsidP="007B3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267AF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4D3" w:rsidRPr="00267AF0" w:rsidRDefault="00DD64D3" w:rsidP="007B34A0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4D3" w:rsidRPr="00267AF0" w:rsidRDefault="00DD64D3" w:rsidP="007B3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267AF0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64D3" w:rsidRPr="00267AF0" w:rsidRDefault="00DD64D3" w:rsidP="007B34A0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D64D3" w:rsidRPr="00267AF0" w:rsidTr="00DD64D3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267AF0" w:rsidRDefault="00DD64D3" w:rsidP="007B34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D64D3" w:rsidRPr="00267AF0" w:rsidRDefault="00DD64D3" w:rsidP="007B34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267AF0" w:rsidRDefault="00DD64D3" w:rsidP="007B34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267AF0" w:rsidRDefault="00DD64D3" w:rsidP="007B34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267AF0" w:rsidRDefault="00DD64D3" w:rsidP="007B34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267AF0" w:rsidRDefault="00DD64D3" w:rsidP="007B34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267AF0" w:rsidRDefault="00DD64D3" w:rsidP="007B34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0513F">
              <w:rPr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2017г                 Сумма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1263,8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1041,4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453,2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453,2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453,2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453,2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453,2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453,2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466,6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234,7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234,7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3,8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3,8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3,8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68,1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 xml:space="preserve">Представление межбюджетных трансфертов местным </w:t>
            </w:r>
            <w:r w:rsidRPr="0010513F">
              <w:rPr>
                <w:sz w:val="20"/>
                <w:szCs w:val="20"/>
              </w:rPr>
              <w:lastRenderedPageBreak/>
              <w:t>бюджетам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lastRenderedPageBreak/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68,1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10513F">
              <w:rPr>
                <w:sz w:val="20"/>
                <w:szCs w:val="20"/>
              </w:rPr>
              <w:t>контроля за</w:t>
            </w:r>
            <w:proofErr w:type="gramEnd"/>
            <w:r w:rsidRPr="0010513F">
              <w:rPr>
                <w:sz w:val="20"/>
                <w:szCs w:val="20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68,1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68,1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68,1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121,6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121,1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121,1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10513F">
              <w:rPr>
                <w:sz w:val="20"/>
                <w:szCs w:val="20"/>
              </w:rPr>
              <w:t>контроля за</w:t>
            </w:r>
            <w:proofErr w:type="gramEnd"/>
            <w:r w:rsidRPr="0010513F">
              <w:rPr>
                <w:sz w:val="20"/>
                <w:szCs w:val="20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121,1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121,1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121,1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9700100000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97001Z0000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97001Z0000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97001Z0000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67,7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67,7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67,7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67,7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9010051180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67,7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9010051180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52,8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9010051180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52,8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9010051180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14,9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9010051180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14,9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12,5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12,5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12,5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139,2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39,4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39,4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39,4</w:t>
            </w:r>
          </w:p>
        </w:tc>
      </w:tr>
      <w:tr w:rsidR="00DD64D3" w:rsidRPr="00267AF0" w:rsidTr="00DD64D3">
        <w:trPr>
          <w:trHeight w:val="280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89200Z0000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39,4</w:t>
            </w:r>
          </w:p>
        </w:tc>
      </w:tr>
      <w:tr w:rsidR="00DD64D3" w:rsidRPr="00267AF0" w:rsidTr="00DD64D3">
        <w:trPr>
          <w:trHeight w:val="42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89200Z0000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39,4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89200Z0000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39,4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99,8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61,2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61,2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61,2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КУЛЬТУРА</w:t>
            </w:r>
            <w:proofErr w:type="gramStart"/>
            <w:r w:rsidRPr="00F90B6B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F90B6B"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sz w:val="20"/>
                <w:szCs w:val="20"/>
              </w:rPr>
            </w:pPr>
            <w:r w:rsidRPr="00F90B6B">
              <w:rPr>
                <w:b/>
                <w:sz w:val="20"/>
                <w:szCs w:val="20"/>
              </w:rPr>
              <w:t>3,0</w:t>
            </w:r>
          </w:p>
        </w:tc>
      </w:tr>
      <w:tr w:rsidR="00DD64D3" w:rsidRPr="00267AF0" w:rsidTr="00DD64D3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center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F90B6B" w:rsidRDefault="00DD64D3" w:rsidP="007B34A0">
            <w:pPr>
              <w:jc w:val="right"/>
              <w:rPr>
                <w:b/>
                <w:i/>
                <w:sz w:val="20"/>
                <w:szCs w:val="20"/>
              </w:rPr>
            </w:pPr>
            <w:r w:rsidRPr="00F90B6B"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DD64D3" w:rsidRPr="00267AF0" w:rsidTr="00DD64D3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10513F">
              <w:rPr>
                <w:sz w:val="20"/>
                <w:szCs w:val="20"/>
              </w:rPr>
              <w:t>досуга</w:t>
            </w:r>
            <w:proofErr w:type="gramEnd"/>
            <w:r w:rsidRPr="0010513F">
              <w:rPr>
                <w:sz w:val="20"/>
                <w:szCs w:val="20"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3,0</w:t>
            </w:r>
          </w:p>
        </w:tc>
      </w:tr>
      <w:tr w:rsidR="00DD64D3" w:rsidRPr="00267AF0" w:rsidTr="00DD64D3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3,0</w:t>
            </w:r>
          </w:p>
        </w:tc>
      </w:tr>
      <w:tr w:rsidR="00DD64D3" w:rsidRPr="00267AF0" w:rsidTr="00DD64D3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6610100000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3,0</w:t>
            </w:r>
          </w:p>
        </w:tc>
      </w:tr>
      <w:tr w:rsidR="00DD64D3" w:rsidRPr="00267AF0" w:rsidTr="00DD64D3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66101Z0000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3,0</w:t>
            </w:r>
          </w:p>
        </w:tc>
      </w:tr>
      <w:tr w:rsidR="00DD64D3" w:rsidRPr="00267AF0" w:rsidTr="00DD64D3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66101Z0000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3,0</w:t>
            </w:r>
          </w:p>
        </w:tc>
      </w:tr>
      <w:tr w:rsidR="00DD64D3" w:rsidRPr="00267AF0" w:rsidTr="00DD64D3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66101Z0000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3,0</w:t>
            </w:r>
          </w:p>
        </w:tc>
      </w:tr>
      <w:tr w:rsidR="00DD64D3" w:rsidRPr="00267AF0" w:rsidTr="00DD64D3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rPr>
                <w:b/>
                <w:bCs/>
                <w:sz w:val="20"/>
                <w:szCs w:val="20"/>
              </w:rPr>
            </w:pPr>
            <w:r w:rsidRPr="0010513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center"/>
              <w:rPr>
                <w:sz w:val="20"/>
                <w:szCs w:val="20"/>
              </w:rPr>
            </w:pPr>
            <w:r w:rsidRPr="0010513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D64D3" w:rsidRPr="0010513F" w:rsidRDefault="00DD64D3" w:rsidP="007B34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1263,8</w:t>
            </w:r>
          </w:p>
        </w:tc>
      </w:tr>
    </w:tbl>
    <w:p w:rsidR="00DD64D3" w:rsidRDefault="00DD64D3" w:rsidP="00DD64D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287EAE" w:rsidRDefault="00287EAE" w:rsidP="00287EA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287EAE" w:rsidRDefault="00287EAE" w:rsidP="00287EA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                       А.А. Демидов      </w:t>
      </w: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Приложение №3  к решению Совета              </w:t>
      </w:r>
    </w:p>
    <w:p w:rsidR="00287EAE" w:rsidRDefault="00287EAE" w:rsidP="00287EAE">
      <w:pPr>
        <w:jc w:val="right"/>
        <w:rPr>
          <w:sz w:val="20"/>
        </w:rPr>
      </w:pPr>
      <w:r>
        <w:rPr>
          <w:sz w:val="20"/>
        </w:rPr>
        <w:t>Николаевского муниципального</w:t>
      </w:r>
    </w:p>
    <w:p w:rsidR="00287EAE" w:rsidRDefault="00287EAE" w:rsidP="00287EAE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образования  от             2018г  №</w:t>
      </w:r>
    </w:p>
    <w:p w:rsidR="00287EAE" w:rsidRDefault="00287EAE" w:rsidP="00287EAE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287EAE" w:rsidRDefault="00287EAE" w:rsidP="00287EAE">
      <w:pPr>
        <w:jc w:val="right"/>
        <w:rPr>
          <w:sz w:val="20"/>
        </w:rPr>
      </w:pPr>
      <w:r>
        <w:rPr>
          <w:sz w:val="20"/>
        </w:rPr>
        <w:t>бюджета Николаевского муниципального</w:t>
      </w:r>
    </w:p>
    <w:p w:rsidR="00287EAE" w:rsidRDefault="00287EAE" w:rsidP="00287EAE">
      <w:pPr>
        <w:jc w:val="right"/>
      </w:pPr>
      <w:r>
        <w:rPr>
          <w:sz w:val="20"/>
        </w:rPr>
        <w:t>образования за 2017год»</w:t>
      </w:r>
    </w:p>
    <w:p w:rsidR="00287EAE" w:rsidRDefault="00287EAE" w:rsidP="00287EAE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287EAE" w:rsidRDefault="00287EAE" w:rsidP="00287EAE">
      <w:pPr>
        <w:jc w:val="right"/>
        <w:rPr>
          <w:sz w:val="20"/>
        </w:rPr>
      </w:pPr>
    </w:p>
    <w:p w:rsidR="00287EAE" w:rsidRDefault="00287EAE" w:rsidP="00287EAE">
      <w:pPr>
        <w:jc w:val="right"/>
      </w:pPr>
    </w:p>
    <w:p w:rsidR="00287EAE" w:rsidRDefault="00287EAE" w:rsidP="00287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 бюджета Николаевского муниципального образования за 2017 год по разделам, подразделам классификации расходов бюджетов Российской Федерации</w:t>
      </w:r>
    </w:p>
    <w:p w:rsidR="00287EAE" w:rsidRPr="00267AF0" w:rsidRDefault="00287EAE" w:rsidP="00287EAE">
      <w:pPr>
        <w:tabs>
          <w:tab w:val="left" w:pos="8100"/>
        </w:tabs>
        <w:rPr>
          <w:b/>
          <w:sz w:val="22"/>
          <w:szCs w:val="22"/>
        </w:rPr>
      </w:pPr>
      <w:r>
        <w:tab/>
        <w:t xml:space="preserve">                                    </w:t>
      </w:r>
    </w:p>
    <w:p w:rsidR="00287EAE" w:rsidRPr="00267AF0" w:rsidRDefault="00287EAE" w:rsidP="00287EAE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287EAE" w:rsidRDefault="00287EAE" w:rsidP="00287EAE">
      <w:pPr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267AF0">
        <w:rPr>
          <w:sz w:val="22"/>
          <w:szCs w:val="22"/>
        </w:rPr>
        <w:t>тыс. руб.</w:t>
      </w:r>
    </w:p>
    <w:p w:rsidR="00287EAE" w:rsidRPr="00267AF0" w:rsidRDefault="00287EAE" w:rsidP="00287EAE">
      <w:pPr>
        <w:jc w:val="center"/>
        <w:rPr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993"/>
        <w:gridCol w:w="1275"/>
        <w:gridCol w:w="1276"/>
      </w:tblGrid>
      <w:tr w:rsidR="00287EAE" w:rsidRPr="00267AF0" w:rsidTr="00287EAE">
        <w:trPr>
          <w:trHeight w:val="870"/>
        </w:trPr>
        <w:tc>
          <w:tcPr>
            <w:tcW w:w="6946" w:type="dxa"/>
            <w:shd w:val="clear" w:color="auto" w:fill="auto"/>
            <w:noWrap/>
            <w:vAlign w:val="center"/>
          </w:tcPr>
          <w:p w:rsidR="00287EAE" w:rsidRPr="00E46957" w:rsidRDefault="00287EAE" w:rsidP="007B34A0">
            <w:pPr>
              <w:jc w:val="center"/>
              <w:rPr>
                <w:b/>
                <w:bCs/>
              </w:rPr>
            </w:pPr>
            <w:r w:rsidRPr="00E46957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EAE" w:rsidRPr="00E46957" w:rsidRDefault="00287EAE" w:rsidP="007B34A0">
            <w:pPr>
              <w:jc w:val="center"/>
              <w:rPr>
                <w:b/>
                <w:bCs/>
              </w:rPr>
            </w:pPr>
            <w:r w:rsidRPr="00E46957">
              <w:rPr>
                <w:b/>
                <w:bCs/>
              </w:rPr>
              <w:t>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EAE" w:rsidRPr="00E46957" w:rsidRDefault="00287EAE" w:rsidP="007B34A0">
            <w:pPr>
              <w:jc w:val="center"/>
              <w:rPr>
                <w:b/>
                <w:bCs/>
              </w:rPr>
            </w:pPr>
            <w:r w:rsidRPr="00E46957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87EAE" w:rsidRPr="00E46957" w:rsidRDefault="00287EAE" w:rsidP="007B34A0">
            <w:pPr>
              <w:jc w:val="center"/>
              <w:rPr>
                <w:b/>
                <w:bCs/>
              </w:rPr>
            </w:pPr>
            <w:r w:rsidRPr="00E46957">
              <w:rPr>
                <w:b/>
                <w:bCs/>
              </w:rPr>
              <w:t>Сумма</w:t>
            </w:r>
          </w:p>
        </w:tc>
      </w:tr>
      <w:tr w:rsidR="00287EAE" w:rsidRPr="00267AF0" w:rsidTr="00287EAE">
        <w:trPr>
          <w:trHeight w:val="255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95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95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95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95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287EAE" w:rsidRPr="00267AF0" w:rsidTr="00287E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rPr>
                <w:b/>
              </w:rPr>
            </w:pPr>
            <w:r w:rsidRPr="00E46957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</w:rPr>
            </w:pPr>
            <w:r w:rsidRPr="00E46957">
              <w:rPr>
                <w:b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</w:rPr>
            </w:pPr>
            <w:r w:rsidRPr="00E46957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  <w:rPr>
                <w:b/>
              </w:rPr>
            </w:pPr>
            <w:r w:rsidRPr="00E46957">
              <w:rPr>
                <w:b/>
              </w:rPr>
              <w:t>1041,4</w:t>
            </w:r>
          </w:p>
        </w:tc>
      </w:tr>
      <w:tr w:rsidR="00287EAE" w:rsidRPr="00267AF0" w:rsidTr="00287E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r w:rsidRPr="00E4695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</w:pPr>
            <w:r w:rsidRPr="00E46957">
              <w:t>453,2</w:t>
            </w:r>
          </w:p>
        </w:tc>
      </w:tr>
      <w:tr w:rsidR="00287EAE" w:rsidRPr="00267AF0" w:rsidTr="00287E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r w:rsidRPr="00E4695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</w:pPr>
            <w:r w:rsidRPr="00E46957">
              <w:t>466,6</w:t>
            </w:r>
          </w:p>
        </w:tc>
      </w:tr>
      <w:tr w:rsidR="00287EAE" w:rsidRPr="00267AF0" w:rsidTr="00287E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r w:rsidRPr="00E46957"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</w:pPr>
            <w:r w:rsidRPr="00E46957">
              <w:t>121,6</w:t>
            </w:r>
          </w:p>
        </w:tc>
      </w:tr>
      <w:tr w:rsidR="00287EAE" w:rsidRPr="00267AF0" w:rsidTr="00287E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rPr>
                <w:b/>
              </w:rPr>
            </w:pPr>
            <w:r w:rsidRPr="00E46957"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</w:rPr>
            </w:pPr>
            <w:r w:rsidRPr="00E46957">
              <w:rPr>
                <w:b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</w:rPr>
            </w:pPr>
            <w:r w:rsidRPr="00E46957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  <w:rPr>
                <w:b/>
              </w:rPr>
            </w:pPr>
            <w:r w:rsidRPr="00E46957">
              <w:rPr>
                <w:b/>
              </w:rPr>
              <w:t>67,7</w:t>
            </w:r>
          </w:p>
        </w:tc>
      </w:tr>
      <w:tr w:rsidR="00287EAE" w:rsidRPr="00267AF0" w:rsidTr="00287E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r w:rsidRPr="00E46957"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</w:pPr>
            <w:r w:rsidRPr="00E46957">
              <w:t>67,7</w:t>
            </w:r>
          </w:p>
        </w:tc>
      </w:tr>
      <w:tr w:rsidR="00287EAE" w:rsidRPr="00267AF0" w:rsidTr="00287E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rPr>
                <w:b/>
              </w:rPr>
            </w:pPr>
            <w:r w:rsidRPr="00E46957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</w:rPr>
            </w:pPr>
            <w:r w:rsidRPr="00E46957">
              <w:rPr>
                <w:b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</w:rPr>
            </w:pPr>
            <w:r w:rsidRPr="00E46957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  <w:rPr>
                <w:b/>
              </w:rPr>
            </w:pPr>
            <w:r w:rsidRPr="00E46957">
              <w:rPr>
                <w:b/>
              </w:rPr>
              <w:t>12,5</w:t>
            </w:r>
          </w:p>
        </w:tc>
      </w:tr>
      <w:tr w:rsidR="00287EAE" w:rsidRPr="00267AF0" w:rsidTr="00287E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r w:rsidRPr="00E46957"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</w:pPr>
            <w:r w:rsidRPr="00E46957">
              <w:t>12,5</w:t>
            </w:r>
          </w:p>
        </w:tc>
      </w:tr>
      <w:tr w:rsidR="00287EAE" w:rsidRPr="00267AF0" w:rsidTr="00287E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rPr>
                <w:b/>
              </w:rPr>
            </w:pPr>
            <w:r w:rsidRPr="00E46957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</w:rPr>
            </w:pPr>
            <w:r w:rsidRPr="00E46957">
              <w:rPr>
                <w:b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</w:rPr>
            </w:pPr>
            <w:r w:rsidRPr="00E46957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  <w:rPr>
                <w:b/>
              </w:rPr>
            </w:pPr>
            <w:r w:rsidRPr="00E46957">
              <w:rPr>
                <w:b/>
              </w:rPr>
              <w:t>139,2</w:t>
            </w:r>
          </w:p>
        </w:tc>
      </w:tr>
      <w:tr w:rsidR="00287EAE" w:rsidRPr="00267AF0" w:rsidTr="00287E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r w:rsidRPr="00E46957"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</w:pPr>
            <w:r w:rsidRPr="00E46957">
              <w:t>39,4</w:t>
            </w:r>
          </w:p>
        </w:tc>
      </w:tr>
      <w:tr w:rsidR="00287EAE" w:rsidRPr="00267AF0" w:rsidTr="00287E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r w:rsidRPr="00E46957"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</w:pPr>
            <w:r w:rsidRPr="00E46957">
              <w:t>99,8</w:t>
            </w:r>
          </w:p>
        </w:tc>
      </w:tr>
      <w:tr w:rsidR="00287EAE" w:rsidRPr="00267AF0" w:rsidTr="00287EAE">
        <w:trPr>
          <w:trHeight w:val="312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rPr>
                <w:b/>
              </w:rPr>
            </w:pPr>
            <w:r w:rsidRPr="00E46957">
              <w:rPr>
                <w:b/>
              </w:rPr>
              <w:t>КУЛЬТУРА</w:t>
            </w:r>
            <w:proofErr w:type="gramStart"/>
            <w:r w:rsidRPr="00E46957">
              <w:rPr>
                <w:b/>
              </w:rPr>
              <w:t xml:space="preserve"> ,</w:t>
            </w:r>
            <w:proofErr w:type="gramEnd"/>
            <w:r w:rsidRPr="00E46957">
              <w:rPr>
                <w:b/>
              </w:rPr>
              <w:t xml:space="preserve">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</w:rPr>
            </w:pPr>
            <w:r w:rsidRPr="00E46957">
              <w:rPr>
                <w:b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</w:rPr>
            </w:pPr>
            <w:r w:rsidRPr="00E46957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  <w:rPr>
                <w:b/>
              </w:rPr>
            </w:pPr>
            <w:r w:rsidRPr="00E46957">
              <w:rPr>
                <w:b/>
              </w:rPr>
              <w:t>3,0</w:t>
            </w:r>
          </w:p>
        </w:tc>
      </w:tr>
      <w:tr w:rsidR="00287EAE" w:rsidRPr="00267AF0" w:rsidTr="00287EAE">
        <w:trPr>
          <w:trHeight w:val="312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r w:rsidRPr="00E46957"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  <w:i/>
              </w:rPr>
            </w:pPr>
            <w:r w:rsidRPr="00E46957">
              <w:rPr>
                <w:b/>
                <w:i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  <w:rPr>
                <w:b/>
                <w:i/>
              </w:rPr>
            </w:pPr>
            <w:r w:rsidRPr="00E46957">
              <w:rPr>
                <w:b/>
                <w:i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  <w:rPr>
                <w:b/>
                <w:i/>
              </w:rPr>
            </w:pPr>
            <w:r w:rsidRPr="00E46957">
              <w:rPr>
                <w:b/>
                <w:i/>
              </w:rPr>
              <w:t>3,0</w:t>
            </w:r>
          </w:p>
        </w:tc>
      </w:tr>
      <w:tr w:rsidR="00287EAE" w:rsidRPr="00267AF0" w:rsidTr="00287EAE">
        <w:trPr>
          <w:trHeight w:val="312"/>
        </w:trPr>
        <w:tc>
          <w:tcPr>
            <w:tcW w:w="694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rPr>
                <w:b/>
                <w:bCs/>
              </w:rPr>
            </w:pPr>
            <w:r w:rsidRPr="00E46957">
              <w:rPr>
                <w:b/>
                <w:bCs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center"/>
            </w:pPr>
            <w:r w:rsidRPr="00E46957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7EAE" w:rsidRPr="00E46957" w:rsidRDefault="00287EAE" w:rsidP="007B34A0">
            <w:pPr>
              <w:jc w:val="right"/>
              <w:rPr>
                <w:b/>
                <w:bCs/>
              </w:rPr>
            </w:pPr>
            <w:r w:rsidRPr="00E46957">
              <w:rPr>
                <w:b/>
                <w:bCs/>
              </w:rPr>
              <w:t>1263,8</w:t>
            </w:r>
          </w:p>
        </w:tc>
      </w:tr>
    </w:tbl>
    <w:p w:rsidR="00287EAE" w:rsidRDefault="00287EAE" w:rsidP="00DD64D3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287EAE" w:rsidRDefault="00287EAE" w:rsidP="00287EA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образования                                                                               А.А. Демидов</w:t>
      </w: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jc w:val="right"/>
        <w:rPr>
          <w:sz w:val="20"/>
        </w:rPr>
      </w:pPr>
      <w:r>
        <w:rPr>
          <w:sz w:val="20"/>
        </w:rPr>
        <w:t xml:space="preserve">Приложение №4  к решению Совета              </w:t>
      </w:r>
    </w:p>
    <w:p w:rsidR="00287EAE" w:rsidRDefault="00287EAE" w:rsidP="00287EAE">
      <w:pPr>
        <w:jc w:val="right"/>
        <w:rPr>
          <w:sz w:val="20"/>
        </w:rPr>
      </w:pPr>
      <w:r>
        <w:rPr>
          <w:sz w:val="20"/>
        </w:rPr>
        <w:t>Николаевского муниципального</w:t>
      </w:r>
    </w:p>
    <w:p w:rsidR="00287EAE" w:rsidRDefault="00287EAE" w:rsidP="00287EAE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образования  от             2018г  №</w:t>
      </w:r>
    </w:p>
    <w:p w:rsidR="00287EAE" w:rsidRDefault="00287EAE" w:rsidP="00287EAE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287EAE" w:rsidRDefault="00287EAE" w:rsidP="00287EAE">
      <w:pPr>
        <w:jc w:val="right"/>
        <w:rPr>
          <w:sz w:val="20"/>
        </w:rPr>
      </w:pPr>
      <w:r>
        <w:rPr>
          <w:sz w:val="20"/>
        </w:rPr>
        <w:t>бюджета Николаевского муниципального</w:t>
      </w:r>
    </w:p>
    <w:p w:rsidR="00287EAE" w:rsidRDefault="00287EAE" w:rsidP="00287EAE">
      <w:pPr>
        <w:jc w:val="right"/>
      </w:pPr>
      <w:r>
        <w:rPr>
          <w:sz w:val="20"/>
        </w:rPr>
        <w:t>образования за 2017 год»</w:t>
      </w:r>
    </w:p>
    <w:p w:rsidR="00287EAE" w:rsidRDefault="00287EAE" w:rsidP="00287EAE">
      <w:pPr>
        <w:jc w:val="right"/>
        <w:rPr>
          <w:b/>
          <w:sz w:val="28"/>
          <w:szCs w:val="28"/>
        </w:rPr>
      </w:pPr>
    </w:p>
    <w:p w:rsidR="00287EAE" w:rsidRPr="00E558BD" w:rsidRDefault="00287EAE" w:rsidP="00287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E558BD">
        <w:rPr>
          <w:b/>
          <w:sz w:val="28"/>
          <w:szCs w:val="28"/>
        </w:rPr>
        <w:t xml:space="preserve"> финансирования</w:t>
      </w:r>
    </w:p>
    <w:p w:rsidR="00287EAE" w:rsidRDefault="00287EAE" w:rsidP="00287EAE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 xml:space="preserve">Николаевского муниципального образования за 2017 год 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. </w:t>
      </w:r>
    </w:p>
    <w:p w:rsidR="00287EAE" w:rsidRPr="00E558BD" w:rsidRDefault="00287EAE" w:rsidP="00287EAE">
      <w:pPr>
        <w:jc w:val="center"/>
        <w:rPr>
          <w:b/>
          <w:sz w:val="28"/>
          <w:szCs w:val="28"/>
        </w:rPr>
      </w:pPr>
    </w:p>
    <w:p w:rsidR="00287EAE" w:rsidRPr="001A6DDE" w:rsidRDefault="00287EAE" w:rsidP="00287EA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A6DDE">
        <w:rPr>
          <w:b/>
        </w:rPr>
        <w:t>т</w:t>
      </w:r>
      <w:r>
        <w:rPr>
          <w:b/>
        </w:rPr>
        <w:t>ыс. руб.</w:t>
      </w:r>
      <w:r w:rsidRPr="001A6DDE">
        <w:rPr>
          <w:b/>
        </w:rPr>
        <w:t xml:space="preserve">                           </w:t>
      </w:r>
    </w:p>
    <w:tbl>
      <w:tblPr>
        <w:tblW w:w="9822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5422"/>
        <w:gridCol w:w="1362"/>
      </w:tblGrid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422" w:type="dxa"/>
          </w:tcPr>
          <w:p w:rsidR="00287EAE" w:rsidRDefault="00287EAE" w:rsidP="007B34A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 xml:space="preserve">Сумма </w:t>
            </w:r>
          </w:p>
        </w:tc>
      </w:tr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</w:pPr>
            <w:r>
              <w:t>1</w:t>
            </w:r>
          </w:p>
        </w:tc>
        <w:tc>
          <w:tcPr>
            <w:tcW w:w="5422" w:type="dxa"/>
          </w:tcPr>
          <w:p w:rsidR="00287EAE" w:rsidRDefault="00287EAE" w:rsidP="007B34A0">
            <w:pPr>
              <w:jc w:val="center"/>
            </w:pPr>
            <w:r>
              <w:t>2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>3</w:t>
            </w:r>
          </w:p>
        </w:tc>
      </w:tr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311 01 05 00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22" w:type="dxa"/>
          </w:tcPr>
          <w:p w:rsidR="00287EAE" w:rsidRDefault="00287EAE" w:rsidP="007B34A0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>38,7</w:t>
            </w:r>
          </w:p>
        </w:tc>
      </w:tr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311 01 05 00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422" w:type="dxa"/>
          </w:tcPr>
          <w:p w:rsidR="00287EAE" w:rsidRDefault="00287EAE" w:rsidP="007B34A0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>-1225,1</w:t>
            </w:r>
          </w:p>
        </w:tc>
      </w:tr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311 01 05 00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422" w:type="dxa"/>
          </w:tcPr>
          <w:p w:rsidR="00287EAE" w:rsidRDefault="00287EAE" w:rsidP="007B34A0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>1263,8</w:t>
            </w:r>
          </w:p>
        </w:tc>
      </w:tr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311 01 05 02 00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422" w:type="dxa"/>
          </w:tcPr>
          <w:p w:rsidR="00287EAE" w:rsidRDefault="00287EAE" w:rsidP="007B34A0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>-1225,1</w:t>
            </w:r>
          </w:p>
        </w:tc>
      </w:tr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31101 05 02 00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422" w:type="dxa"/>
          </w:tcPr>
          <w:p w:rsidR="00287EAE" w:rsidRDefault="00287EAE" w:rsidP="007B34A0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>1263,8</w:t>
            </w:r>
          </w:p>
        </w:tc>
      </w:tr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  <w:rPr>
                <w:bCs/>
              </w:rPr>
            </w:pPr>
            <w:r>
              <w:rPr>
                <w:bCs/>
              </w:rPr>
              <w:t>31101 05 02 01 00 0000 510</w:t>
            </w:r>
          </w:p>
        </w:tc>
        <w:tc>
          <w:tcPr>
            <w:tcW w:w="5422" w:type="dxa"/>
          </w:tcPr>
          <w:p w:rsidR="00287EAE" w:rsidRDefault="00287EAE" w:rsidP="007B34A0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>-1225,1</w:t>
            </w:r>
          </w:p>
        </w:tc>
      </w:tr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  <w:rPr>
                <w:bCs/>
              </w:rPr>
            </w:pPr>
            <w:r>
              <w:rPr>
                <w:bCs/>
              </w:rPr>
              <w:t>311 01 05 02 01 00 0000 610</w:t>
            </w:r>
          </w:p>
        </w:tc>
        <w:tc>
          <w:tcPr>
            <w:tcW w:w="5422" w:type="dxa"/>
          </w:tcPr>
          <w:p w:rsidR="00287EAE" w:rsidRDefault="00287EAE" w:rsidP="007B34A0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>1263,8</w:t>
            </w:r>
          </w:p>
        </w:tc>
      </w:tr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  <w:rPr>
                <w:bCs/>
              </w:rPr>
            </w:pPr>
            <w:r>
              <w:rPr>
                <w:bCs/>
              </w:rPr>
              <w:t>311 01 05 02 01 10 0000 510</w:t>
            </w:r>
          </w:p>
        </w:tc>
        <w:tc>
          <w:tcPr>
            <w:tcW w:w="5422" w:type="dxa"/>
          </w:tcPr>
          <w:p w:rsidR="00287EAE" w:rsidRDefault="00287EAE" w:rsidP="007B34A0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>-1225,1</w:t>
            </w:r>
          </w:p>
        </w:tc>
      </w:tr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  <w:rPr>
                <w:bCs/>
              </w:rPr>
            </w:pPr>
            <w:r>
              <w:rPr>
                <w:bCs/>
              </w:rPr>
              <w:t>311 01 05 02 01 10 0000 610</w:t>
            </w:r>
          </w:p>
        </w:tc>
        <w:tc>
          <w:tcPr>
            <w:tcW w:w="5422" w:type="dxa"/>
          </w:tcPr>
          <w:p w:rsidR="00287EAE" w:rsidRDefault="00287EAE" w:rsidP="007B34A0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>1263,8</w:t>
            </w:r>
          </w:p>
        </w:tc>
      </w:tr>
      <w:tr w:rsidR="00287EAE" w:rsidTr="00287EAE">
        <w:tc>
          <w:tcPr>
            <w:tcW w:w="3038" w:type="dxa"/>
          </w:tcPr>
          <w:p w:rsidR="00287EAE" w:rsidRDefault="00287EAE" w:rsidP="007B34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31109 00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22" w:type="dxa"/>
          </w:tcPr>
          <w:p w:rsidR="00287EAE" w:rsidRDefault="00287EAE" w:rsidP="007B34A0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362" w:type="dxa"/>
          </w:tcPr>
          <w:p w:rsidR="00287EAE" w:rsidRDefault="00287EAE" w:rsidP="007B34A0">
            <w:pPr>
              <w:jc w:val="center"/>
            </w:pPr>
            <w:r>
              <w:t>38,7</w:t>
            </w:r>
          </w:p>
        </w:tc>
      </w:tr>
    </w:tbl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</w:p>
    <w:p w:rsidR="00287EAE" w:rsidRDefault="00287EAE" w:rsidP="00287EA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287EAE" w:rsidRDefault="00287EAE" w:rsidP="00287EA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образования                                                                               А.А. Демидов</w:t>
      </w:r>
    </w:p>
    <w:p w:rsidR="00287EAE" w:rsidRPr="00DD64D3" w:rsidRDefault="00287EAE" w:rsidP="00287EAE">
      <w:pPr>
        <w:pStyle w:val="Oaenoaieoiaioa"/>
        <w:ind w:firstLine="0"/>
        <w:rPr>
          <w:b/>
          <w:szCs w:val="28"/>
        </w:rPr>
      </w:pPr>
    </w:p>
    <w:sectPr w:rsidR="00287EAE" w:rsidRPr="00DD64D3" w:rsidSect="00351CA6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25A"/>
    <w:multiLevelType w:val="hybridMultilevel"/>
    <w:tmpl w:val="FA7C1860"/>
    <w:lvl w:ilvl="0" w:tplc="CD2246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DF1B70"/>
    <w:multiLevelType w:val="singleLevel"/>
    <w:tmpl w:val="8C24E19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7AB391B"/>
    <w:multiLevelType w:val="multilevel"/>
    <w:tmpl w:val="5574BDA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B5472A5"/>
    <w:multiLevelType w:val="multilevel"/>
    <w:tmpl w:val="A240F0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715E7DDE"/>
    <w:multiLevelType w:val="hybridMultilevel"/>
    <w:tmpl w:val="3168D134"/>
    <w:lvl w:ilvl="0" w:tplc="5EE2A2D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01DDD"/>
    <w:rsid w:val="00000650"/>
    <w:rsid w:val="0000780D"/>
    <w:rsid w:val="0010124E"/>
    <w:rsid w:val="001060B0"/>
    <w:rsid w:val="00142434"/>
    <w:rsid w:val="001451AE"/>
    <w:rsid w:val="00170592"/>
    <w:rsid w:val="00183F72"/>
    <w:rsid w:val="001B5CCD"/>
    <w:rsid w:val="001D2FB1"/>
    <w:rsid w:val="001E17FC"/>
    <w:rsid w:val="00204783"/>
    <w:rsid w:val="00227DED"/>
    <w:rsid w:val="00287EAE"/>
    <w:rsid w:val="003021F1"/>
    <w:rsid w:val="00341BD4"/>
    <w:rsid w:val="00342921"/>
    <w:rsid w:val="00351CA6"/>
    <w:rsid w:val="003C4949"/>
    <w:rsid w:val="00435F49"/>
    <w:rsid w:val="00437B72"/>
    <w:rsid w:val="004466D8"/>
    <w:rsid w:val="0047791E"/>
    <w:rsid w:val="00487AF9"/>
    <w:rsid w:val="00497602"/>
    <w:rsid w:val="004F1A8A"/>
    <w:rsid w:val="00526A5C"/>
    <w:rsid w:val="0061412B"/>
    <w:rsid w:val="006414E5"/>
    <w:rsid w:val="00652565"/>
    <w:rsid w:val="006615E9"/>
    <w:rsid w:val="006B2ECE"/>
    <w:rsid w:val="007024DE"/>
    <w:rsid w:val="0074672F"/>
    <w:rsid w:val="00775BE5"/>
    <w:rsid w:val="007A0953"/>
    <w:rsid w:val="007A7343"/>
    <w:rsid w:val="007B5579"/>
    <w:rsid w:val="0080128C"/>
    <w:rsid w:val="008C1F6E"/>
    <w:rsid w:val="00930401"/>
    <w:rsid w:val="00981B68"/>
    <w:rsid w:val="009E0109"/>
    <w:rsid w:val="009E7FEA"/>
    <w:rsid w:val="009F6FAA"/>
    <w:rsid w:val="00A43318"/>
    <w:rsid w:val="00A7110A"/>
    <w:rsid w:val="00A821DD"/>
    <w:rsid w:val="00AC7D84"/>
    <w:rsid w:val="00AE42F1"/>
    <w:rsid w:val="00AE533B"/>
    <w:rsid w:val="00B061AF"/>
    <w:rsid w:val="00B815CF"/>
    <w:rsid w:val="00C04597"/>
    <w:rsid w:val="00C76D47"/>
    <w:rsid w:val="00C87A4B"/>
    <w:rsid w:val="00C95EE5"/>
    <w:rsid w:val="00D7081C"/>
    <w:rsid w:val="00DB1632"/>
    <w:rsid w:val="00DD64D3"/>
    <w:rsid w:val="00E01DDD"/>
    <w:rsid w:val="00E10ADA"/>
    <w:rsid w:val="00E1462F"/>
    <w:rsid w:val="00E46E64"/>
    <w:rsid w:val="00F51781"/>
    <w:rsid w:val="00F76E19"/>
    <w:rsid w:val="00F8660D"/>
    <w:rsid w:val="00F95328"/>
    <w:rsid w:val="00F9631A"/>
    <w:rsid w:val="00F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D6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enoaieoiaioa">
    <w:name w:val="Oaeno aieoiaioa"/>
    <w:basedOn w:val="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4466D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95EE5"/>
    <w:rPr>
      <w:sz w:val="28"/>
      <w:szCs w:val="20"/>
    </w:rPr>
  </w:style>
  <w:style w:type="paragraph" w:styleId="a4">
    <w:name w:val="Title"/>
    <w:basedOn w:val="a"/>
    <w:next w:val="a5"/>
    <w:link w:val="a6"/>
    <w:qFormat/>
    <w:rsid w:val="00351CA6"/>
    <w:pPr>
      <w:widowControl w:val="0"/>
      <w:suppressAutoHyphens/>
      <w:jc w:val="center"/>
    </w:pPr>
    <w:rPr>
      <w:rFonts w:eastAsia="Lucida Sans Unicode" w:cs="Mangal"/>
      <w:b/>
      <w:kern w:val="1"/>
      <w:sz w:val="28"/>
      <w:lang w:eastAsia="hi-IN" w:bidi="hi-IN"/>
    </w:rPr>
  </w:style>
  <w:style w:type="character" w:customStyle="1" w:styleId="a6">
    <w:name w:val="Название Знак"/>
    <w:basedOn w:val="a0"/>
    <w:link w:val="a4"/>
    <w:rsid w:val="00351CA6"/>
    <w:rPr>
      <w:rFonts w:eastAsia="Lucida Sans Unicode" w:cs="Mangal"/>
      <w:b/>
      <w:kern w:val="1"/>
      <w:sz w:val="28"/>
      <w:szCs w:val="24"/>
      <w:lang w:eastAsia="hi-IN" w:bidi="hi-IN"/>
    </w:rPr>
  </w:style>
  <w:style w:type="paragraph" w:styleId="a7">
    <w:name w:val="No Spacing"/>
    <w:qFormat/>
    <w:rsid w:val="00351CA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Subtitle"/>
    <w:basedOn w:val="a"/>
    <w:next w:val="a"/>
    <w:link w:val="a8"/>
    <w:qFormat/>
    <w:rsid w:val="00351C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5"/>
    <w:rsid w:val="00351CA6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DD6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6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6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DD64D3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МФ</Company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МФ</dc:creator>
  <cp:keywords/>
  <dc:description/>
  <cp:lastModifiedBy>Владелец</cp:lastModifiedBy>
  <cp:revision>2</cp:revision>
  <cp:lastPrinted>2014-02-11T06:51:00Z</cp:lastPrinted>
  <dcterms:created xsi:type="dcterms:W3CDTF">2018-05-25T07:26:00Z</dcterms:created>
  <dcterms:modified xsi:type="dcterms:W3CDTF">2018-05-25T07:26:00Z</dcterms:modified>
</cp:coreProperties>
</file>