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/>
      </w:pPr>
      <w:r>
        <w:rPr>
          <w:b/>
        </w:rPr>
        <w:t xml:space="preserve">ИЗВЕЩЕНИЕ №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5</w:t>
      </w:r>
    </w:p>
    <w:p>
      <w:pPr>
        <w:pStyle w:val="Normal"/>
        <w:ind w:firstLine="567"/>
        <w:jc w:val="center"/>
        <w:rPr/>
      </w:pPr>
      <w:r>
        <w:rPr>
          <w:b/>
        </w:rPr>
        <w:t>о проведении аукциона по продаже земельных участков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firstLine="567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Продавец (организатор аукциона) – администрация Ивантеевского муниципального района Саратовской области.</w:t>
      </w:r>
    </w:p>
    <w:p>
      <w:pPr>
        <w:pStyle w:val="Style18"/>
        <w:ind w:firstLine="567"/>
        <w:jc w:val="both"/>
        <w:rPr/>
      </w:pPr>
      <w:r>
        <w:rPr>
          <w:sz w:val="20"/>
          <w:szCs w:val="20"/>
        </w:rPr>
        <w:t>Орган государственной власти, принявший решение о проведении аукциона (уполномоченный орган) и реквизиты указанного решения: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администрация Ивантеевского муниципального района Саратовской области, </w:t>
      </w:r>
    </w:p>
    <w:p>
      <w:pPr>
        <w:pStyle w:val="Style18"/>
        <w:ind w:firstLine="340"/>
        <w:jc w:val="both"/>
        <w:rPr/>
      </w:pPr>
      <w:bookmarkStart w:id="0" w:name="__DdeLink__659_4037081104"/>
      <w:r>
        <w:rPr>
          <w:sz w:val="20"/>
          <w:szCs w:val="20"/>
        </w:rPr>
        <w:t>-постановление администрации Ивантеевского муниципального района Саратовской области от 06.07.2021 № 283;</w:t>
      </w:r>
      <w:bookmarkEnd w:id="0"/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 xml:space="preserve">-постановление администрации Ивантеевского муниципального района Саратовской области от </w:t>
      </w:r>
      <w:r>
        <w:rPr>
          <w:rFonts w:eastAsia="Times New Roman" w:cs="Times New Roman"/>
          <w:b w:val="false"/>
          <w:bCs w:val="false"/>
          <w:color w:val="111111"/>
          <w:kern w:val="0"/>
          <w:sz w:val="20"/>
          <w:szCs w:val="20"/>
          <w:lang w:val="ru-RU" w:eastAsia="ru-RU" w:bidi="ar-SA"/>
        </w:rPr>
        <w:t>13.09.2021 № 402</w:t>
      </w:r>
      <w:r>
        <w:rPr>
          <w:b w:val="false"/>
          <w:bCs w:val="false"/>
          <w:color w:val="111111"/>
          <w:sz w:val="20"/>
          <w:szCs w:val="20"/>
        </w:rPr>
        <w:t>;</w:t>
      </w:r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>-постановление администрации Ивантеевского муниципального района Саратовской области от 06.07.2021 № 287;</w:t>
      </w:r>
    </w:p>
    <w:p>
      <w:pPr>
        <w:pStyle w:val="Style18"/>
        <w:ind w:firstLine="340"/>
        <w:jc w:val="both"/>
        <w:rPr/>
      </w:pPr>
      <w:r>
        <w:rPr>
          <w:sz w:val="20"/>
          <w:szCs w:val="20"/>
        </w:rPr>
        <w:t>-постановление администрации Ивантеевского муниципального района Саратовской области от 06.07.2021 № 284.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  <w:shd w:fill="FFFFFF" w:val="clear"/>
        </w:rPr>
        <w:t xml:space="preserve">Дата, время, место определения участников аукциона –  </w:t>
      </w:r>
      <w:r>
        <w:rPr>
          <w:rFonts w:eastAsia="Times New Roman" w:cs="Times New Roman"/>
          <w:b/>
          <w:color w:val="111111"/>
          <w:kern w:val="0"/>
          <w:sz w:val="20"/>
          <w:szCs w:val="20"/>
          <w:lang w:val="ru-RU" w:eastAsia="ru-RU" w:bidi="ar-SA"/>
        </w:rPr>
        <w:t>12 октября</w:t>
      </w:r>
      <w:r>
        <w:rPr>
          <w:b/>
          <w:color w:val="111111"/>
          <w:sz w:val="20"/>
          <w:szCs w:val="20"/>
        </w:rPr>
        <w:t xml:space="preserve"> 2021г. </w:t>
      </w:r>
      <w:r>
        <w:rPr>
          <w:b/>
          <w:sz w:val="20"/>
          <w:szCs w:val="20"/>
        </w:rPr>
        <w:t>в 15.00</w:t>
      </w:r>
      <w:r>
        <w:rPr>
          <w:sz w:val="20"/>
          <w:szCs w:val="20"/>
        </w:rPr>
        <w:t xml:space="preserve"> (далее по тексту</w:t>
      </w:r>
      <w:r>
        <w:rPr>
          <w:bCs/>
          <w:sz w:val="20"/>
          <w:szCs w:val="20"/>
        </w:rPr>
        <w:t xml:space="preserve"> время местное)</w:t>
      </w:r>
      <w:r>
        <w:rPr>
          <w:sz w:val="20"/>
          <w:szCs w:val="20"/>
          <w:shd w:fill="FFFFFF" w:val="clear"/>
        </w:rPr>
        <w:t xml:space="preserve"> по адресу: </w:t>
      </w:r>
      <w:r>
        <w:rPr>
          <w:sz w:val="20"/>
          <w:szCs w:val="20"/>
        </w:rPr>
        <w:t>413950, Саратовская область, Ивантеевский район, с. Ивантеевка, ул. Советская, д.14 Администрация Ивантеевского муниципального района Саратовской области</w:t>
      </w:r>
      <w:r>
        <w:rPr>
          <w:sz w:val="20"/>
          <w:szCs w:val="20"/>
          <w:shd w:fill="FFFFFF" w:val="clear"/>
        </w:rPr>
        <w:t xml:space="preserve">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>
      <w:pPr>
        <w:pStyle w:val="Normal"/>
        <w:ind w:firstLine="567"/>
        <w:jc w:val="both"/>
        <w:rPr/>
      </w:pPr>
      <w:r>
        <w:rPr>
          <w:b/>
        </w:rPr>
        <w:t xml:space="preserve">Место, срок подведения итогов аукциона, порядок определения победителей аукциона: аукцион проводится </w:t>
      </w:r>
      <w:r>
        <w:rPr>
          <w:rFonts w:eastAsia="Times New Roman" w:cs="Times New Roman"/>
          <w:b/>
          <w:color w:val="111111"/>
          <w:kern w:val="0"/>
          <w:sz w:val="20"/>
          <w:szCs w:val="20"/>
          <w:lang w:val="ru-RU" w:eastAsia="ru-RU" w:bidi="ar-SA"/>
        </w:rPr>
        <w:t>18 октября</w:t>
      </w:r>
      <w:r>
        <w:rPr>
          <w:b/>
          <w:bCs/>
          <w:color w:val="111111"/>
        </w:rPr>
        <w:t xml:space="preserve"> 2021 года в</w:t>
      </w:r>
      <w:r>
        <w:rPr>
          <w:b/>
          <w:bCs/>
        </w:rPr>
        <w:t xml:space="preserve"> 10.00</w:t>
      </w:r>
      <w:r>
        <w:rPr>
          <w:bCs/>
        </w:rPr>
        <w:t xml:space="preserve"> часов</w:t>
      </w:r>
      <w:r>
        <w:rPr>
          <w:i/>
        </w:rPr>
        <w:t xml:space="preserve"> </w:t>
      </w:r>
      <w:r>
        <w:rPr/>
        <w:t>по адресу: 413950, Саратовская область, Ивантеевский район, с.Ивантеевка, ул. Советская, д. № 14, Администрация Ивантеевского муниципального района Саратовской области.</w:t>
      </w:r>
    </w:p>
    <w:p>
      <w:pPr>
        <w:pStyle w:val="Normal"/>
        <w:ind w:firstLine="567"/>
        <w:jc w:val="both"/>
        <w:rPr/>
      </w:pPr>
      <w:r>
        <w:rPr>
          <w:b/>
        </w:rPr>
        <w:t xml:space="preserve">Регистрация участников проводится </w:t>
      </w:r>
      <w:r>
        <w:rPr>
          <w:rFonts w:eastAsia="Times New Roman" w:cs="Times New Roman"/>
          <w:b/>
          <w:color w:val="111111"/>
          <w:kern w:val="0"/>
          <w:sz w:val="20"/>
          <w:szCs w:val="20"/>
          <w:lang w:val="ru-RU" w:eastAsia="ru-RU" w:bidi="ar-SA"/>
        </w:rPr>
        <w:t>18 октября</w:t>
      </w:r>
      <w:r>
        <w:rPr>
          <w:b/>
          <w:bCs/>
          <w:color w:val="111111"/>
        </w:rPr>
        <w:t xml:space="preserve"> 2021 </w:t>
      </w:r>
      <w:r>
        <w:rPr>
          <w:b/>
          <w:bCs/>
        </w:rPr>
        <w:t>года в 09.30 часов</w:t>
      </w:r>
      <w:r>
        <w:rPr/>
        <w:t xml:space="preserve"> по адресу: 413950, Саратовская область, Ивантеевский район, с. Ивантеевка, ул. Советская, д. № 14, Администрация Ивантеевского муниципального района Саратовской области (Отдел по управлению земельными ресурсами).</w:t>
      </w:r>
    </w:p>
    <w:p>
      <w:pPr>
        <w:pStyle w:val="Normal"/>
        <w:ind w:firstLine="567"/>
        <w:jc w:val="both"/>
        <w:rPr/>
      </w:pPr>
      <w:r>
        <w:rPr/>
        <w:t>Порядок проведения аукциона регулируется земельным и гражданским законодательством Российской Федерации.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Style18"/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>
      <w:pPr>
        <w:pStyle w:val="Style18"/>
        <w:ind w:firstLine="567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«Шаг» аукциона</w:t>
      </w:r>
      <w:r>
        <w:rPr>
          <w:b/>
          <w:bCs/>
          <w:sz w:val="20"/>
          <w:szCs w:val="20"/>
        </w:rPr>
        <w:t>: 3%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/>
      </w:pPr>
      <w:r>
        <w:rPr>
          <w:b/>
          <w:sz w:val="20"/>
          <w:szCs w:val="20"/>
        </w:rPr>
        <w:t xml:space="preserve">Сумма задатка: </w:t>
      </w:r>
      <w:r>
        <w:rPr>
          <w:b/>
          <w:bCs/>
          <w:sz w:val="20"/>
          <w:szCs w:val="20"/>
        </w:rPr>
        <w:t>50%</w:t>
      </w:r>
      <w:r>
        <w:rPr>
          <w:b/>
          <w:sz w:val="20"/>
          <w:szCs w:val="20"/>
        </w:rPr>
        <w:t xml:space="preserve"> от начальной цены предмета аукциона. 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Границы участков определены кадастровыми паспортами земельного участка. </w:t>
      </w:r>
    </w:p>
    <w:p>
      <w:pPr>
        <w:pStyle w:val="Normal"/>
        <w:ind w:firstLine="567"/>
        <w:jc w:val="both"/>
        <w:rPr/>
      </w:pPr>
      <w:r>
        <w:rPr/>
        <w:t>Аукцион проводится открытый по составу участников и открытый по форме подачи предложений о цене.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на участие в аукционе по подаются форме, приведенной в настоящем извещении (приложение №1), принимаются с даты публикации настоящего сообщения в рабочие дни с 8.00 до 12.00 и с 13.00 до 16.00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(84579) 5-16-55.</w:t>
      </w:r>
    </w:p>
    <w:p>
      <w:pPr>
        <w:pStyle w:val="Style18"/>
        <w:ind w:firstLine="567"/>
        <w:jc w:val="both"/>
        <w:rPr/>
      </w:pPr>
      <w:r>
        <w:rPr>
          <w:b/>
          <w:bCs/>
          <w:sz w:val="20"/>
          <w:szCs w:val="20"/>
        </w:rPr>
        <w:t>Дата окончания приема заявок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 прилагающихся к ним документов</w:t>
      </w:r>
      <w:r>
        <w:rPr>
          <w:b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для участия в аукционе: </w:t>
      </w:r>
      <w:r>
        <w:rPr>
          <w:b/>
          <w:bCs/>
          <w:color w:val="111111"/>
          <w:sz w:val="20"/>
          <w:szCs w:val="20"/>
        </w:rPr>
        <w:t xml:space="preserve"> </w:t>
      </w:r>
      <w:r>
        <w:rPr>
          <w:rFonts w:eastAsia="Times New Roman" w:cs="Times New Roman"/>
          <w:b/>
          <w:bCs/>
          <w:color w:val="111111"/>
          <w:kern w:val="0"/>
          <w:sz w:val="20"/>
          <w:szCs w:val="20"/>
          <w:lang w:val="ru-RU" w:eastAsia="ru-RU" w:bidi="ar-SA"/>
        </w:rPr>
        <w:t>12 октября</w:t>
      </w:r>
      <w:r>
        <w:rPr>
          <w:b/>
          <w:bCs/>
          <w:color w:val="111111"/>
          <w:sz w:val="20"/>
          <w:szCs w:val="20"/>
        </w:rPr>
        <w:t xml:space="preserve"> 2021 года, 12.00 часов</w:t>
      </w:r>
      <w:r>
        <w:rPr>
          <w:bCs/>
          <w:color w:val="111111"/>
          <w:sz w:val="20"/>
          <w:szCs w:val="20"/>
        </w:rPr>
        <w:t xml:space="preserve">. </w:t>
      </w:r>
      <w:r>
        <w:rPr>
          <w:color w:val="111111"/>
          <w:sz w:val="20"/>
          <w:szCs w:val="20"/>
        </w:rPr>
        <w:t xml:space="preserve"> (по местному времени)</w:t>
      </w:r>
    </w:p>
    <w:p>
      <w:pPr>
        <w:pStyle w:val="Style22"/>
        <w:numPr>
          <w:ilvl w:val="0"/>
          <w:numId w:val="1"/>
        </w:numP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Сведения о предмете аукциона:</w:t>
      </w:r>
    </w:p>
    <w:p>
      <w:pPr>
        <w:pStyle w:val="Style22"/>
        <w:ind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Предмет аукциона – </w:t>
      </w:r>
      <w:r>
        <w:rPr>
          <w:bCs/>
          <w:sz w:val="20"/>
          <w:szCs w:val="20"/>
        </w:rPr>
        <w:t>цена земельного участка:</w:t>
      </w:r>
    </w:p>
    <w:tbl>
      <w:tblPr>
        <w:tblW w:w="10200" w:type="dxa"/>
        <w:jc w:val="left"/>
        <w:tblInd w:w="58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1"/>
        <w:gridCol w:w="3158"/>
        <w:gridCol w:w="1650"/>
        <w:gridCol w:w="1023"/>
        <w:gridCol w:w="1233"/>
        <w:gridCol w:w="1175"/>
        <w:gridCol w:w="1399"/>
      </w:tblGrid>
      <w:tr>
        <w:trPr>
          <w:trHeight w:val="67" w:hRule="atLeast"/>
          <w:cantSplit w:val="true"/>
        </w:trPr>
        <w:tc>
          <w:tcPr>
            <w:tcW w:w="5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 </w:t>
            </w:r>
            <w:r>
              <w:rPr/>
              <w:t>лота</w:t>
            </w:r>
          </w:p>
        </w:tc>
        <w:tc>
          <w:tcPr>
            <w:tcW w:w="315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Местоположение и характеристики объекта аукциона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Кадастровый номер</w:t>
            </w:r>
          </w:p>
        </w:tc>
        <w:tc>
          <w:tcPr>
            <w:tcW w:w="10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Площадь</w:t>
              <w:br/>
              <w:t>общая (кв. м)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69" w:hRule="atLeast"/>
          <w:cantSplit w:val="true"/>
        </w:trPr>
        <w:tc>
          <w:tcPr>
            <w:tcW w:w="561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58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0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23" w:type="dxa"/>
            <w:vMerge w:val="continue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Начальная цена – рыночная стоимость (руб.)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Шаг аукциона</w:t>
            </w:r>
          </w:p>
          <w:p>
            <w:pPr>
              <w:pStyle w:val="Normal"/>
              <w:jc w:val="center"/>
              <w:rPr/>
            </w:pPr>
            <w:r>
              <w:rPr/>
              <w:t>(3%)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Размер задатка (</w:t>
            </w: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5</w:t>
            </w:r>
            <w:r>
              <w:rPr>
                <w:lang w:val="en-US"/>
              </w:rPr>
              <w:t>0%)</w:t>
            </w:r>
          </w:p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>
              <w:rPr/>
              <w:t>руб.)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>Саратовская область, Ивантеевский район, тер Ивантеевское МО, 8,4 км на юго-восток от с. Ивантеевка, между оврагами Прудовой и Глотов. Земельный участок обременен водоохранной зоной реки Чернава.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/>
            </w:pPr>
            <w:bookmarkStart w:id="1" w:name="_GoBack"/>
            <w:r>
              <w:rPr>
                <w:color w:val="000000"/>
              </w:rPr>
              <w:t xml:space="preserve">Вид разрешенного использования: </w:t>
            </w:r>
            <w:r>
              <w:rPr>
                <w:color w:val="111111"/>
              </w:rPr>
              <w:t>«</w:t>
            </w:r>
            <w:r>
              <w:rPr>
                <w:rFonts w:eastAsia="Times New Roman" w:cs="Times New Roman"/>
                <w:color w:val="111111"/>
                <w:kern w:val="0"/>
                <w:sz w:val="20"/>
                <w:szCs w:val="20"/>
                <w:lang w:val="ru-RU" w:eastAsia="ru-RU" w:bidi="ar-SA"/>
              </w:rPr>
              <w:t>выращивание зерновых и иных сельскохозяйственных культур</w:t>
            </w:r>
            <w:r>
              <w:rPr>
                <w:color w:val="111111"/>
              </w:rPr>
              <w:t>».</w:t>
            </w:r>
            <w:bookmarkEnd w:id="1"/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64:14:010401:455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950250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1 871 992,50</w:t>
            </w:r>
            <w:r>
              <w:rPr>
                <w:color w:val="C9211E"/>
              </w:rPr>
              <w:t xml:space="preserve">  </w:t>
            </w:r>
            <w:r>
              <w:rPr>
                <w:color w:val="111111"/>
              </w:rPr>
              <w:t>(один миллион восемьсот семьдесят одна тысяча девятьсот девяносто два) рубля 50копеек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111111"/>
              </w:rPr>
              <w:t>56160,00 (пятьдесят шесть тысяч сто шестьдесят) рублей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935 996,00 (девятьсот тридцать пять тысяч девятьсот девяносто шесть)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</w:t>
            </w:r>
            <w:r>
              <w:rPr>
                <w:color w:val="000000"/>
              </w:rPr>
              <w:t>Ивантеевское МО, 550 м. южнее с. Ивантеевка, на левом берегу реки Чернава, в 30 м от автодороги «Самара-Пугачев-Энгельс-Волгоград»</w:t>
            </w:r>
            <w:r>
              <w:rPr/>
              <w:t>. Ограничений, обременений земельного участка не установлено.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сельскохозяйственного назначения»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szCs w:val="20"/>
                <w:lang w:eastAsia="ru-RU"/>
              </w:rPr>
              <w:t>С</w:t>
            </w:r>
            <w:r>
              <w:rPr/>
              <w:t>ельскохозяйственно</w:t>
            </w:r>
            <w:r>
              <w:rPr>
                <w:rFonts w:eastAsia="Times New Roman" w:cs="Times New Roman"/>
                <w:szCs w:val="20"/>
                <w:lang w:eastAsia="ru-RU"/>
              </w:rPr>
              <w:t>е</w:t>
            </w:r>
            <w:r>
              <w:rPr/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использование</w:t>
            </w:r>
            <w:r>
              <w:rPr/>
              <w:t>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64:14:010401:453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2645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5210,65</w:t>
            </w:r>
            <w:r>
              <w:rPr>
                <w:color w:val="C9211E"/>
              </w:rPr>
              <w:t xml:space="preserve">  </w:t>
            </w:r>
            <w:r>
              <w:rPr>
                <w:color w:val="111111"/>
              </w:rPr>
              <w:t>(пять тысяч двести десять) рублей 65 копеек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156,00</w:t>
            </w:r>
          </w:p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(сто пятьдесят шесть) рублей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2605</w:t>
            </w:r>
            <w:bookmarkStart w:id="2" w:name="__DdeLink__821_3900947266"/>
            <w:r>
              <w:rPr>
                <w:color w:val="111111"/>
              </w:rPr>
              <w:t>,00</w:t>
            </w:r>
            <w:bookmarkEnd w:id="2"/>
          </w:p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(две тысячи шестьсот пять)</w:t>
            </w:r>
            <w:bookmarkStart w:id="3" w:name="sub_68"/>
            <w:bookmarkEnd w:id="3"/>
            <w:r>
              <w:rPr>
                <w:color w:val="111111"/>
              </w:rPr>
              <w:t xml:space="preserve"> рублей</w:t>
            </w:r>
          </w:p>
        </w:tc>
      </w:tr>
      <w:tr>
        <w:trPr>
          <w:trHeight w:val="964" w:hRule="atLeast"/>
          <w:cantSplit w:val="true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3158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Саратовская область, Ивантеевский район, с.Ивантеевка, </w:t>
            </w:r>
            <w:r>
              <w:rPr>
                <w:color w:val="000000"/>
              </w:rPr>
              <w:t>ул.Фабричная, у северо-западной границы земельного участка № 7</w:t>
            </w:r>
            <w:r>
              <w:rPr/>
              <w:t>. Ограничений, обременений земельного участка не установлено.</w:t>
            </w:r>
          </w:p>
          <w:p>
            <w:pPr>
              <w:pStyle w:val="Normal"/>
              <w:jc w:val="both"/>
              <w:rPr/>
            </w:pPr>
            <w:r>
              <w:rPr/>
              <w:t>Категория земель: «Земли населенных пунктов»</w:t>
            </w:r>
          </w:p>
          <w:p>
            <w:pPr>
              <w:pStyle w:val="Normal"/>
              <w:jc w:val="both"/>
              <w:rPr/>
            </w:pPr>
            <w:r>
              <w:rPr/>
              <w:t>Вид разрешенного использования: «</w:t>
            </w:r>
            <w:r>
              <w:rPr>
                <w:rFonts w:eastAsia="Times New Roman" w:cs="Times New Roman"/>
                <w:szCs w:val="20"/>
                <w:lang w:eastAsia="ru-RU"/>
              </w:rPr>
              <w:t>С</w:t>
            </w:r>
            <w:r>
              <w:rPr/>
              <w:t>ельскохозяйственно</w:t>
            </w:r>
            <w:r>
              <w:rPr>
                <w:rFonts w:eastAsia="Times New Roman" w:cs="Times New Roman"/>
                <w:szCs w:val="20"/>
                <w:lang w:eastAsia="ru-RU"/>
              </w:rPr>
              <w:t>е</w:t>
            </w:r>
            <w:r>
              <w:rPr/>
              <w:t xml:space="preserve"> </w:t>
            </w:r>
            <w:r>
              <w:rPr>
                <w:rFonts w:eastAsia="Times New Roman" w:cs="Times New Roman"/>
                <w:szCs w:val="20"/>
                <w:lang w:eastAsia="ru-RU"/>
              </w:rPr>
              <w:t>использование</w:t>
            </w:r>
            <w:r>
              <w:rPr/>
              <w:t>»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64:14:220104:413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8572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</w:rPr>
              <w:t>15172,44</w:t>
            </w:r>
            <w:r>
              <w:rPr>
                <w:color w:val="C9211E"/>
              </w:rPr>
              <w:t xml:space="preserve"> </w:t>
            </w:r>
            <w:r>
              <w:rPr>
                <w:color w:val="111111"/>
              </w:rPr>
              <w:t>(пятнадцать тысяч сто семьдесят два) рубля 44копейки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455,00 (четыреста пятьдесят пять) рублей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111111"/>
              </w:rPr>
            </w:pPr>
            <w:r>
              <w:rPr>
                <w:color w:val="111111"/>
              </w:rPr>
              <w:t>7586</w:t>
            </w:r>
            <w:bookmarkStart w:id="4" w:name="__DdeLink__821_39009472661"/>
            <w:r>
              <w:rPr>
                <w:color w:val="111111"/>
              </w:rPr>
              <w:t>,00</w:t>
            </w:r>
            <w:bookmarkEnd w:id="4"/>
            <w:r>
              <w:rPr>
                <w:color w:val="111111"/>
              </w:rPr>
              <w:t xml:space="preserve"> (семь тысяч пятьсот восемьдесят шесть)</w:t>
            </w:r>
            <w:bookmarkStart w:id="5" w:name="sub_681"/>
            <w:bookmarkEnd w:id="5"/>
            <w:r>
              <w:rPr>
                <w:color w:val="111111"/>
              </w:rPr>
              <w:t xml:space="preserve"> рублей</w:t>
            </w:r>
          </w:p>
        </w:tc>
      </w:tr>
    </w:tbl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b/>
          <w:sz w:val="20"/>
          <w:szCs w:val="20"/>
        </w:rPr>
        <w:t xml:space="preserve">Параметры разрешенного строительства объектов капитального строительства для Лота №2 и Лота №3, в соответствии с действующими правилами землепользования и застройки территории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Ивантеевского</w:t>
      </w:r>
      <w:r>
        <w:rPr>
          <w:b/>
          <w:sz w:val="20"/>
          <w:szCs w:val="20"/>
        </w:rPr>
        <w:t xml:space="preserve"> муниципального образования Ивантеевского муниципального района Саратовской области, не установлены.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0"/>
          <w:szCs w:val="20"/>
        </w:rPr>
        <w:tab/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Лот №2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Согласно письм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sz w:val="20"/>
          <w:szCs w:val="20"/>
        </w:rPr>
        <w:t xml:space="preserve">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Э</w:t>
      </w:r>
      <w:r>
        <w:rPr>
          <w:color w:val="111111"/>
          <w:sz w:val="20"/>
          <w:szCs w:val="20"/>
        </w:rPr>
        <w:t>лектроснабжение возможно от источника питания ВЛ-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10</w:t>
      </w:r>
      <w:r>
        <w:rPr>
          <w:color w:val="111111"/>
          <w:sz w:val="20"/>
          <w:szCs w:val="20"/>
        </w:rPr>
        <w:t xml:space="preserve">кВ, ВЛ-1009, ПС 110кВ 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Ивантеевская</w:t>
      </w:r>
      <w:r>
        <w:rPr>
          <w:color w:val="111111"/>
          <w:sz w:val="20"/>
          <w:szCs w:val="20"/>
        </w:rPr>
        <w:t xml:space="preserve">. </w:t>
      </w:r>
      <w:r>
        <w:rPr>
          <w:sz w:val="20"/>
          <w:szCs w:val="20"/>
        </w:rPr>
        <w:t>Сроки подключения к электрическим сетям (в рамках договора технологического присоединения). Сроки действия технических условий по договору ТП-4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37/9</w:t>
      </w:r>
      <w:r>
        <w:rPr>
          <w:sz w:val="20"/>
          <w:szCs w:val="20"/>
        </w:rPr>
        <w:t xml:space="preserve"> от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29.12.2020г., 2/5 от 22.01.2021г.</w:t>
      </w:r>
      <w:r>
        <w:rPr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Согласно письм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sz w:val="20"/>
          <w:szCs w:val="20"/>
        </w:rPr>
        <w:t xml:space="preserve"> Филиала АО «Газпром газораспределение Саратовская область» в г. 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  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sz w:val="20"/>
          <w:szCs w:val="20"/>
        </w:rPr>
        <w:t xml:space="preserve">    </w:t>
      </w:r>
      <w:bookmarkStart w:id="6" w:name="__DdeLink__53361_26530304801"/>
      <w:r>
        <w:rPr>
          <w:b/>
          <w:bCs/>
          <w:sz w:val="20"/>
          <w:szCs w:val="20"/>
        </w:rPr>
        <w:t>3)</w:t>
      </w:r>
      <w:r>
        <w:rPr>
          <w:b w:val="false"/>
          <w:bCs w:val="false"/>
          <w:sz w:val="20"/>
          <w:szCs w:val="20"/>
        </w:rPr>
        <w:t xml:space="preserve"> Согласно письм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b w:val="false"/>
          <w:bCs w:val="false"/>
          <w:sz w:val="20"/>
          <w:szCs w:val="20"/>
        </w:rPr>
        <w:t xml:space="preserve"> ГУП </w:t>
      </w:r>
      <w:r>
        <w:rPr>
          <w:b w:val="false"/>
          <w:bCs w:val="false"/>
          <w:sz w:val="20"/>
          <w:szCs w:val="20"/>
        </w:rPr>
        <w:t xml:space="preserve">СО </w:t>
      </w:r>
      <w:r>
        <w:rPr>
          <w:b w:val="false"/>
          <w:bCs w:val="false"/>
          <w:sz w:val="20"/>
          <w:szCs w:val="20"/>
        </w:rPr>
        <w:t xml:space="preserve">«Облводоресурс»-«Ивантеевский», </w:t>
      </w:r>
      <w:bookmarkEnd w:id="6"/>
      <w:r>
        <w:rPr>
          <w:b w:val="false"/>
          <w:bCs w:val="false"/>
          <w:sz w:val="20"/>
          <w:szCs w:val="20"/>
        </w:rPr>
        <w:t xml:space="preserve">объект не может быть подключен к сетям центрального водопровода филиала ГУП СО «Облводоресурс»- «Ивантеевский», так как данный участок находится на большом расстоянии 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>от центрального трубопровода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b/>
          <w:sz w:val="20"/>
          <w:szCs w:val="20"/>
        </w:rPr>
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следующие: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firstLine="624"/>
        <w:jc w:val="both"/>
        <w:rPr/>
      </w:pPr>
      <w:r>
        <w:rPr>
          <w:b/>
          <w:sz w:val="20"/>
          <w:szCs w:val="20"/>
        </w:rPr>
        <w:t>Лот № 3:</w:t>
      </w:r>
      <w:r>
        <w:rPr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Согласно письм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sz w:val="20"/>
          <w:szCs w:val="20"/>
        </w:rPr>
        <w:t xml:space="preserve"> Северного производственного отделения филиала ПАО «Россети Волга»-«Саратовские  распределительные сети», техническая возможность электроснабжения данного участка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>Э</w:t>
      </w:r>
      <w:r>
        <w:rPr>
          <w:color w:val="111111"/>
          <w:sz w:val="20"/>
          <w:szCs w:val="20"/>
        </w:rPr>
        <w:t>лектроснабжение возможно от источника питания ВЛ-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0,4</w:t>
      </w:r>
      <w:r>
        <w:rPr>
          <w:color w:val="111111"/>
          <w:sz w:val="20"/>
          <w:szCs w:val="20"/>
        </w:rPr>
        <w:t>кВ, КПТ №629, ВЛ-100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2</w:t>
      </w:r>
      <w:r>
        <w:rPr>
          <w:color w:val="111111"/>
          <w:sz w:val="20"/>
          <w:szCs w:val="20"/>
        </w:rPr>
        <w:t xml:space="preserve">, ПС 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35</w:t>
      </w:r>
      <w:r>
        <w:rPr>
          <w:color w:val="111111"/>
          <w:sz w:val="20"/>
          <w:szCs w:val="20"/>
        </w:rPr>
        <w:t xml:space="preserve">кВ </w:t>
      </w:r>
      <w:r>
        <w:rPr>
          <w:rFonts w:eastAsia="Times New Roman" w:cs="Times New Roman"/>
          <w:color w:val="111111"/>
          <w:kern w:val="0"/>
          <w:sz w:val="20"/>
          <w:szCs w:val="20"/>
          <w:lang w:val="ru-RU" w:eastAsia="ru-RU" w:bidi="ar-SA"/>
        </w:rPr>
        <w:t>Ивантеевская</w:t>
      </w:r>
      <w:r>
        <w:rPr>
          <w:color w:val="111111"/>
          <w:sz w:val="20"/>
          <w:szCs w:val="20"/>
        </w:rPr>
        <w:t xml:space="preserve">. </w:t>
      </w:r>
      <w:r>
        <w:rPr>
          <w:sz w:val="20"/>
          <w:szCs w:val="20"/>
        </w:rPr>
        <w:t>Сроки подключения к электрическим сетям (в рамках договора технологического присоединения). Сроки действия технических условий по договору ТП-4 года. Стоимость за технологическое присоединение энергопринимающих устройств потребителей составляет: с присоединяемой мощностью по одному источнику электроснабжения до 15кВт включительно (с учетом ранее присоединенной в данной точке присоединения мощности и при условии, что расстояние от границ участка заявителя до объектов электросетевого хозяйства сетевой организации составляет не более 300м в городах и не более 500м в сельской местности) к электрическим сетям филиала ПАО «Россети Волга»-«Саратовские распределительные сети» составляет 550руб. (с НДС). (Постановления Комитета государственного регулирования тарифов Саратовской области № 57/1 от 27.12.2018г., №18/1 от 14.05.2014г). При других условиях стоимость рассчитывается в соответствии с Постановлением Комитета государственного регулирования тарифов Саратовской области №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37/9</w:t>
      </w:r>
      <w:r>
        <w:rPr>
          <w:sz w:val="20"/>
          <w:szCs w:val="20"/>
        </w:rPr>
        <w:t xml:space="preserve"> от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29.12.2020г., 2/5 от 22.01.2021г.</w:t>
      </w:r>
      <w:r>
        <w:rPr>
          <w:sz w:val="20"/>
          <w:szCs w:val="20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Согласно письм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sz w:val="20"/>
          <w:szCs w:val="20"/>
        </w:rPr>
        <w:t xml:space="preserve"> Филиала АО «Газпром газораспределение Саратовская область» в г.Пугачеве, техническая возможность подключения (технологического присоединения) к сети газораспределения имеется.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>Срок подключения (технологического присоединения) к сетям газораспределения объекта капитального строительства 270дней с даты заключения договора о подключении (технологическом присоединении)  объектов капитального  строительства к сети газораспределения. Срок действия настоящих технических условий составляет 70рабочих дней.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ab/>
        <w:t>Дополнительные сведения: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sz w:val="20"/>
          <w:szCs w:val="20"/>
        </w:rPr>
        <w:t xml:space="preserve">Размер платы за подключение определяется в соответствии с Методическими указаниями утвержденными постановлением ФСТ от 18.08.2018г. № 1151/18 и постановлением комитета государственного регулирования тарифов Саратовской области.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b/>
          <w:bCs w:val="false"/>
          <w:sz w:val="20"/>
          <w:szCs w:val="20"/>
        </w:rPr>
        <w:t xml:space="preserve">    </w:t>
      </w:r>
      <w:bookmarkStart w:id="7" w:name="__DdeLink__53361_265303048011"/>
      <w:r>
        <w:rPr>
          <w:b/>
          <w:bCs/>
          <w:sz w:val="20"/>
          <w:szCs w:val="20"/>
        </w:rPr>
        <w:t>3)</w:t>
      </w:r>
      <w:r>
        <w:rPr>
          <w:b w:val="false"/>
          <w:bCs w:val="false"/>
          <w:sz w:val="20"/>
          <w:szCs w:val="20"/>
        </w:rPr>
        <w:t xml:space="preserve"> Согласно письм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>у</w:t>
      </w:r>
      <w:r>
        <w:rPr>
          <w:b w:val="false"/>
          <w:bCs w:val="false"/>
          <w:sz w:val="20"/>
          <w:szCs w:val="20"/>
        </w:rPr>
        <w:t xml:space="preserve"> ГУП </w:t>
      </w:r>
      <w:r>
        <w:rPr>
          <w:b w:val="false"/>
          <w:bCs w:val="false"/>
          <w:sz w:val="20"/>
          <w:szCs w:val="20"/>
        </w:rPr>
        <w:t xml:space="preserve">СО </w:t>
      </w:r>
      <w:r>
        <w:rPr>
          <w:b w:val="false"/>
          <w:bCs w:val="false"/>
          <w:sz w:val="20"/>
          <w:szCs w:val="20"/>
        </w:rPr>
        <w:t xml:space="preserve">«Облводоресурс»-«Ивантеевский», </w:t>
      </w:r>
      <w:bookmarkEnd w:id="7"/>
      <w:r>
        <w:rPr>
          <w:b w:val="false"/>
          <w:bCs w:val="false"/>
          <w:sz w:val="20"/>
          <w:szCs w:val="20"/>
        </w:rPr>
        <w:t xml:space="preserve">объект не может быть подключен к сетям центрального водопровода филиала ГУП СО «Облводоресурс»- «Ивантеевский», так как данный участок находится на большом расстоянии </w:t>
      </w:r>
      <w:r>
        <w:rPr>
          <w:rFonts w:eastAsia="Times New Roman" w:cs="Times New Roman"/>
          <w:b w:val="false"/>
          <w:bCs w:val="false"/>
          <w:color w:val="auto"/>
          <w:kern w:val="0"/>
          <w:sz w:val="20"/>
          <w:szCs w:val="20"/>
          <w:lang w:val="ru-RU" w:eastAsia="ru-RU" w:bidi="ar-SA"/>
        </w:rPr>
        <w:t>от центрального трубопровода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Style22"/>
        <w:widowControl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b/>
          <w:sz w:val="20"/>
          <w:szCs w:val="20"/>
        </w:rPr>
        <w:t xml:space="preserve">      </w:t>
      </w:r>
      <w:r>
        <w:rPr>
          <w:rFonts w:eastAsia="Times New Roman" w:cs="Times New Roman"/>
          <w:b/>
          <w:color w:val="auto"/>
          <w:kern w:val="0"/>
          <w:sz w:val="20"/>
          <w:szCs w:val="20"/>
          <w:lang w:val="ru-RU" w:eastAsia="ru-RU" w:bidi="ar-SA"/>
        </w:rPr>
        <w:t>4</w:t>
      </w:r>
      <w:r>
        <w:rPr>
          <w:b/>
          <w:sz w:val="20"/>
          <w:szCs w:val="20"/>
        </w:rPr>
        <w:t>.</w:t>
        <w:tab/>
        <w:t>Порядок подачи заявки на участие в аукционе:</w:t>
      </w:r>
      <w:r>
        <w:rPr>
          <w:sz w:val="20"/>
          <w:szCs w:val="20"/>
        </w:rPr>
        <w:t xml:space="preserve"> одно лицо имеет право подать только одну заявку. Заявка может быть подана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hyperlink r:id="rId2">
        <w:r>
          <w:rPr>
            <w:rStyle w:val="Style15"/>
            <w:sz w:val="20"/>
            <w:szCs w:val="20"/>
            <w:lang w:val="en-US"/>
          </w:rPr>
          <w:t>iva</w:t>
        </w:r>
        <w:r>
          <w:rPr>
            <w:rStyle w:val="Style15"/>
            <w:sz w:val="20"/>
            <w:szCs w:val="20"/>
          </w:rPr>
          <w:t>_</w:t>
        </w:r>
        <w:r>
          <w:rPr>
            <w:rStyle w:val="Style15"/>
            <w:sz w:val="20"/>
            <w:szCs w:val="20"/>
            <w:lang w:val="en-US"/>
          </w:rPr>
          <w:t>omo</w:t>
        </w:r>
        <w:r>
          <w:rPr>
            <w:rStyle w:val="Style15"/>
            <w:sz w:val="20"/>
            <w:szCs w:val="20"/>
          </w:rPr>
          <w:t>@</w:t>
        </w:r>
        <w:r>
          <w:rPr>
            <w:rStyle w:val="Style15"/>
            <w:sz w:val="20"/>
            <w:szCs w:val="20"/>
            <w:lang w:val="en-US"/>
          </w:rPr>
          <w:t>rambler</w:t>
        </w:r>
        <w:r>
          <w:rPr>
            <w:rStyle w:val="Style15"/>
            <w:sz w:val="20"/>
            <w:szCs w:val="20"/>
          </w:rPr>
          <w:t>.</w:t>
        </w:r>
        <w:r>
          <w:rPr>
            <w:rStyle w:val="Style15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). 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Заявки подаются и принимаются одновременно с полным комплектом требуемых для участия в аукционе документов.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Срок и порядок внесения задатка: задаток вносится единым платежом по следующим реквизитам: </w:t>
      </w:r>
      <w:r>
        <w:rPr>
          <w:color w:val="111111"/>
          <w:sz w:val="20"/>
          <w:szCs w:val="20"/>
        </w:rPr>
        <w:t xml:space="preserve"> </w:t>
      </w:r>
      <w:r>
        <w:rPr>
          <w:color w:val="111111"/>
          <w:sz w:val="20"/>
          <w:szCs w:val="20"/>
          <w:u w:val="single"/>
        </w:rPr>
        <w:t>Казначейский счет: 03232643636190006000, Единый казначейский счет: 40102810845370000052, Банк  получателя: Отделение Саратов Банка России//УФК по Саратовской области г.Саратов, Получатель: УФК по Саратовской области (Администрация Ивантеевского муниципального района Саратовской области), ИНН 6414001592, КПП 641401001, БИК 016311121, назначение платежа  «Средства, поступающие во временное распоряжение».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Задаток должен поступить на счет Продавца не позднее  даты окончания приема заявок.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Внесенный победителем аукциона задаток засчитывается в счет платы за земельный участок.</w:t>
      </w:r>
    </w:p>
    <w:p>
      <w:pPr>
        <w:pStyle w:val="Normal"/>
        <w:widowControl w:val="false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торгов в течение 3 рабочих дней со дня подписания протокола о результатах аукциона возвращает задаток участникам аукциона, которые не выиграли его.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3">
        <w:r>
          <w:rPr>
            <w:rStyle w:val="Style"/>
            <w:rFonts w:cs="Times New Roman" w:ascii="Times New Roman" w:hAnsi="Times New Roman"/>
            <w:sz w:val="20"/>
            <w:szCs w:val="20"/>
          </w:rPr>
          <w:t>пунктом 13</w:t>
        </w:r>
      </w:hyperlink>
      <w:r>
        <w:rPr>
          <w:rFonts w:cs="Times New Roman" w:ascii="Times New Roman" w:hAnsi="Times New Roman"/>
          <w:sz w:val="20"/>
          <w:szCs w:val="20"/>
        </w:rPr>
        <w:t xml:space="preserve">, </w:t>
      </w:r>
      <w:hyperlink r:id="rId4">
        <w:r>
          <w:rPr>
            <w:rStyle w:val="Style"/>
            <w:rFonts w:cs="Times New Roman" w:ascii="Times New Roman" w:hAnsi="Times New Roman"/>
            <w:sz w:val="20"/>
            <w:szCs w:val="20"/>
          </w:rPr>
          <w:t>14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или </w:t>
      </w:r>
      <w:hyperlink r:id="rId5">
        <w:r>
          <w:rPr>
            <w:rStyle w:val="Style"/>
            <w:rFonts w:cs="Times New Roman" w:ascii="Times New Roman" w:hAnsi="Times New Roman"/>
            <w:sz w:val="20"/>
            <w:szCs w:val="20"/>
          </w:rPr>
          <w:t>20</w:t>
        </w:r>
      </w:hyperlink>
      <w:r>
        <w:rPr>
          <w:rFonts w:cs="Times New Roman" w:ascii="Times New Roman" w:hAnsi="Times New Roman"/>
          <w:sz w:val="20"/>
          <w:szCs w:val="20"/>
        </w:rPr>
        <w:t xml:space="preserve"> статьи 39.12 Земельного кодекса Российской Федерации, засчитываются в счет платы за него. Задатки, внесенные этими лицами, не заключившими в установленном настоящей статьей порядке договор купли-продажи земельного участка вследствие уклонения от заключения указанных договоров, не возвращаются.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Документы, представляемые претендентами для участия в аукционе: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2) копии документов, удостоверяющих личность заявителя (для граждан);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4) документы, подтверждающие внесение задатка.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В случае подачи заявки представителем заявителя предъявляется доверенность. Документы, представляемые для участия в аукционе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 не принимаются. 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Требования к оформлению представляемых документов:</w:t>
      </w:r>
    </w:p>
    <w:p>
      <w:pPr>
        <w:pStyle w:val="Style22"/>
        <w:ind w:firstLine="567"/>
        <w:rPr>
          <w:sz w:val="20"/>
          <w:szCs w:val="20"/>
        </w:rPr>
      </w:pPr>
      <w:r>
        <w:rPr>
          <w:sz w:val="20"/>
          <w:szCs w:val="20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К данным документам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Ознакомиться с подробной информацией и документацией о предмете аукциона можно со дня опубликования настоящего сообщения в рабочие дни с 9.00 до 13.00 часов по адресу: 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 (Отдел по управлению земельными ресурсами, телефон 8(84579) 5-16-55, по дату окончания приема заявок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включительно. </w:t>
      </w:r>
    </w:p>
    <w:p>
      <w:pPr>
        <w:pStyle w:val="Normal"/>
        <w:widowControl w:val="false"/>
        <w:ind w:firstLine="567"/>
        <w:jc w:val="both"/>
        <w:rPr/>
      </w:pPr>
      <w:r>
        <w:rPr>
          <w:sz w:val="20"/>
          <w:szCs w:val="20"/>
        </w:rPr>
        <w:t>Дата, время и порядок осмотра земельного участка на местности. Осмотр земельного участка, являющегося предметом аукциона, проводится организатором аукциона по предварительной заявке претендентов с 14 ч. 00 мин. до 16 ч. 00 мин. каждую среду (за исключением праздничных дней) до даты окончания приема заявок. Проезд для осмотра земельного участка на местности осуществляется на транспорте претендента. Заявки на участие в осмотре принимаются Организатором  аукциона: 413950, Саратовская область, Ивантеевский район, с. Ивантеевка, ул.Советская, д. № 14 Администрация Ивантеевского муниципального района Саратовской области (Отдел по управлению земельными ресурсами, телефон (84579) 5-16-55, в рабочее время не позднее двух рабочих дней до даты осмотра земельного участка. Осмотр проводится без взимания платы.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>
      <w:pPr>
        <w:pStyle w:val="Normal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Style18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Результаты аукциона оформляются протоколом (составляется в двух экземплярах), который является документом, удостоверяющим право Победителя на заключение договора купли-продажи земельного участка. Один экземпляр протокола о результатах аукциона выдается Победителю или его полномочному представителю. </w:t>
      </w:r>
    </w:p>
    <w:p>
      <w:pPr>
        <w:pStyle w:val="ConsPlusNonformat"/>
        <w:ind w:firstLine="567"/>
        <w:jc w:val="both"/>
        <w:rPr>
          <w:rFonts w:ascii="Times New Roman" w:hAnsi="Times New Roman" w:eastAsia="Arial Unicode MS" w:cs="Times New Roman"/>
          <w:lang w:eastAsia="en-US" w:bidi="en-US"/>
        </w:rPr>
      </w:pPr>
      <w:r>
        <w:rPr>
          <w:rFonts w:eastAsia="Arial Unicode MS" w:cs="Times New Roman" w:ascii="Times New Roman" w:hAnsi="Times New Roman"/>
          <w:sz w:val="20"/>
          <w:szCs w:val="20"/>
          <w:lang w:eastAsia="en-US" w:bidi="en-US"/>
        </w:rPr>
        <w:t>Договор купли-продажи земельного участка заключается в установленный законодательством срок.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>
          <w:bCs/>
          <w:sz w:val="20"/>
          <w:szCs w:val="20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 для размещения информации о проведении торгов (http://www.torgi.g</w:t>
      </w:r>
      <w:r>
        <w:rPr>
          <w:bCs/>
        </w:rPr>
        <w:t>ov.ru), сайте продавца</w:t>
      </w:r>
      <w:r>
        <w:rPr>
          <w:bCs/>
          <w:lang w:eastAsia="ar-SA"/>
        </w:rPr>
        <w:t xml:space="preserve"> в информационно-коммуникационной сети «Интернет», </w:t>
      </w:r>
      <w:r>
        <w:rPr/>
        <w:t xml:space="preserve">на официальном сайте Ивантеевского муниципального района Саратовской области по адресу: </w:t>
      </w:r>
      <w:hyperlink r:id="rId6">
        <w:r>
          <w:rPr>
            <w:rStyle w:val="Style15"/>
          </w:rPr>
          <w:t>http://ivanteevka.sarmo.ru/</w:t>
        </w:r>
      </w:hyperlink>
      <w:r>
        <w:rPr/>
        <w:t>, а так же опубликованы в официальном печатном издании –газете  «Ивантеевский вестник».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Председатель аукционной комиссии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администрации Ивантеевского 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Саратовской области        </w:t>
        <w:tab/>
        <w:tab/>
        <w:t xml:space="preserve">                       В.А. Болмосов</w:t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426" w:leader="none"/>
          <w:tab w:val="left" w:pos="1418" w:leader="none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Приложение № 1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АУКЦИОНЕ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продаже Объекта (лота) аукциона </w:t>
      </w:r>
    </w:p>
    <w:p>
      <w:pPr>
        <w:pStyle w:val="Normal"/>
        <w:ind w:left="5580" w:hanging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 xml:space="preserve">В </w:t>
      </w:r>
      <w:r>
        <w:rPr>
          <w:b/>
          <w:bCs/>
          <w:sz w:val="22"/>
          <w:szCs w:val="22"/>
        </w:rPr>
        <w:t>Аукционную комиссию_______</w:t>
      </w:r>
      <w:r>
        <w:rPr>
          <w:sz w:val="22"/>
          <w:szCs w:val="22"/>
        </w:rPr>
        <w:t>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(наименование организатора аукциона)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Заявитель</w:t>
      </w:r>
      <w:r>
        <w:rPr>
          <w:sz w:val="22"/>
          <w:szCs w:val="22"/>
        </w:rPr>
        <w:t>_____________________________________________________________________________</w:t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(</w:t>
      </w:r>
      <w:r>
        <w:rPr>
          <w:bCs/>
          <w:sz w:val="22"/>
          <w:szCs w:val="22"/>
        </w:rPr>
        <w:t xml:space="preserve">Ф.И.О. для гражданина (физического лица), наименование для юридического лица </w:t>
      </w:r>
    </w:p>
    <w:p>
      <w:pPr>
        <w:pStyle w:val="Normal"/>
        <w:jc w:val="center"/>
        <w:rPr>
          <w:sz w:val="22"/>
          <w:szCs w:val="22"/>
        </w:rPr>
      </w:pPr>
      <w:r>
        <w:rPr>
          <w:bCs/>
          <w:sz w:val="22"/>
          <w:szCs w:val="22"/>
        </w:rPr>
        <w:t>с указанием организационно-правовой формы</w:t>
      </w:r>
      <w:r>
        <w:rPr>
          <w:sz w:val="22"/>
          <w:szCs w:val="22"/>
        </w:rPr>
        <w:t>)</w:t>
      </w:r>
    </w:p>
    <w:p>
      <w:pPr>
        <w:pStyle w:val="Normal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Cs/>
          <w:sz w:val="22"/>
          <w:szCs w:val="22"/>
        </w:rPr>
        <w:t>Ф.И.О. руководителя юридического лица</w:t>
      </w:r>
      <w:r>
        <w:rPr>
          <w:sz w:val="22"/>
          <w:szCs w:val="22"/>
        </w:rPr>
        <w:t>)</w:t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2"/>
          <w:szCs w:val="22"/>
          <w:vertAlign w:val="superscript"/>
        </w:rPr>
        <w:t>1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sz w:val="22"/>
          <w:szCs w:val="22"/>
        </w:rPr>
        <w:t>(Устав, Положение и т.д.)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11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физическим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 серия…………………№ …………………., дата выдачи «…....» ………………..….г.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выдан…………………………………………………..……………………………………………………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жительства …………………………………………………………….………………………………...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………………………………………………….………………………………………..</w:t>
            </w:r>
          </w:p>
        </w:tc>
      </w:tr>
      <w:tr>
        <w:trPr>
          <w:trHeight w:val="1024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(заполняется юридическим лицом)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Местонахождение, адрес………………………………………………………………………………………..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телефон….…………………………….…………………………………………………………...</w:t>
            </w:r>
          </w:p>
        </w:tc>
      </w:tr>
      <w:tr>
        <w:trPr>
          <w:trHeight w:val="117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Представитель Заявителя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…………………………..…………………………………………………………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(Ф.И.О.)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 доверенности от «……..»…………..……20..….г., № ……………………….……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 представителя: серия …………№ …………., дата выдачи «…....» ……...…… .…....г.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выдан..………………………………….……………………………..………………………………………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жительства ……………………………………………….………………………………………………..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телефон……..…………………………….………………………………………………………….</w:t>
            </w:r>
          </w:p>
        </w:tc>
      </w:tr>
    </w:tbl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принял решение об участии в аукционе по продаже Объекта (лота) аукциона:</w:t>
      </w:r>
    </w:p>
    <w:p>
      <w:pPr>
        <w:pStyle w:val="Normal"/>
        <w:widowControl w:val="false"/>
        <w:ind w:left="1" w:right="1" w:hanging="1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49"/>
      </w:tblGrid>
      <w:tr>
        <w:trPr>
          <w:trHeight w:val="419" w:hRule="atLeast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аукциона:………..…………. № Лота……………общая площадь Объекта (лота).................................., 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Местоположение (адрес) Объекта (лота) аукциона ……………..………………………………………………</w:t>
            </w:r>
          </w:p>
        </w:tc>
      </w:tr>
    </w:tbl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и обязуется обеспечить поступление задатка в размере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 руб. </w:t>
      </w:r>
      <w:r>
        <w:rPr>
          <w:sz w:val="22"/>
          <w:szCs w:val="22"/>
        </w:rPr>
        <w:t>_________________________________________________________________</w:t>
      </w:r>
    </w:p>
    <w:p>
      <w:pPr>
        <w:pStyle w:val="Normal"/>
        <w:widowControl w:val="false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(сумма прописью) 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b/>
          <w:sz w:val="22"/>
          <w:szCs w:val="22"/>
        </w:rPr>
        <w:t>в сроки и в порядке установленные в Извещении о проведении аукциона на указанный Объект (лот).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обязуется: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условия и порядок проведения аукциона, содержащиеся в Извещении о проведении аукциона.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признания Победителем аукциона заключить договор купли-продажи с Продавцом, подписать акт приема-передачи  в соответствии с порядком, сроками и требованиями, установленными Извещением о проведении аукциона и договором купли-продажи. </w:t>
      </w:r>
    </w:p>
    <w:p>
      <w:pPr>
        <w:pStyle w:val="Normal"/>
        <w:numPr>
          <w:ilvl w:val="1"/>
          <w:numId w:val="2"/>
        </w:numPr>
        <w:suppressAutoHyphens w:val="true"/>
        <w:ind w:left="357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Использовать Объект (лот) аукциона в соответствии с разрешенным использованием, указанным в Извещении о проведении аукциона и договоре купли-продажи.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понятны все требования и положения Извещения о проведении аукциона. Заявителю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известно фактическое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состояние и технические характеристики Объекта (лота) аукциона (п.1.)</w:t>
      </w:r>
      <w:r>
        <w:rPr>
          <w:b/>
          <w:sz w:val="22"/>
          <w:szCs w:val="22"/>
        </w:rPr>
        <w:t xml:space="preserve"> и он не имеет претензий к ним.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Изменение разрешенного использования Объекта (лота) аукциона, проданного по результатам аукциона, не допускается.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Ответственность за достоверность представленных документов и информации несет Заявитель.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купли-продажи,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осведомлен и согласен с тем, что Организатор аукциона и Продавец не несут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Условия аукциона по данному Объекту (лоту) аукциона, порядок и условия заключения договора купли-продажи с Участником аукциона являются условиями публичной оферты, а подача Заявки на участие в аукционе является акцептом такой оферты.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Заполняется при подаче Заявки </w:t>
      </w:r>
      <w:r>
        <w:rPr>
          <w:bCs/>
          <w:sz w:val="22"/>
          <w:szCs w:val="22"/>
        </w:rPr>
        <w:t>юридическим лицом.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 </w:t>
      </w:r>
      <w:r>
        <w:rPr>
          <w:sz w:val="22"/>
          <w:szCs w:val="22"/>
        </w:rPr>
        <w:t>Заполняется при подаче Заявки лицом, действующим по доверенности.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suppressAutoHyphens w:val="true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Платежные реквизиты Заявителя: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(Ф.И.О. для гражданина (физического лица), наименование для юридического лица)</w:t>
      </w:r>
    </w:p>
    <w:tbl>
      <w:tblPr>
        <w:tblW w:w="10249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6"/>
        <w:gridCol w:w="690"/>
        <w:gridCol w:w="683"/>
        <w:gridCol w:w="693"/>
        <w:gridCol w:w="689"/>
        <w:gridCol w:w="689"/>
        <w:gridCol w:w="684"/>
        <w:gridCol w:w="690"/>
        <w:gridCol w:w="693"/>
        <w:gridCol w:w="691"/>
        <w:gridCol w:w="684"/>
        <w:gridCol w:w="689"/>
        <w:gridCol w:w="637"/>
      </w:tblGrid>
      <w:tr>
        <w:trPr>
          <w:trHeight w:val="187" w:hRule="atLeast"/>
        </w:trPr>
        <w:tc>
          <w:tcPr>
            <w:tcW w:w="20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0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>
              <w:rPr>
                <w:rStyle w:val="FootnoteCharacters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Заявителя</w:t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(Наименование Банка в котором у </w:t>
      </w:r>
      <w:r>
        <w:rPr>
          <w:bCs/>
          <w:sz w:val="22"/>
          <w:szCs w:val="22"/>
        </w:rPr>
        <w:t>Заявителя</w:t>
      </w:r>
      <w:r>
        <w:rPr>
          <w:sz w:val="22"/>
          <w:szCs w:val="22"/>
        </w:rPr>
        <w:t xml:space="preserve"> открыт счет; название города, где находится банк)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263" w:type="dxa"/>
        <w:jc w:val="left"/>
        <w:tblInd w:w="-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3"/>
        <w:gridCol w:w="197"/>
        <w:gridCol w:w="223"/>
        <w:gridCol w:w="205"/>
        <w:gridCol w:w="227"/>
        <w:gridCol w:w="205"/>
        <w:gridCol w:w="207"/>
        <w:gridCol w:w="222"/>
        <w:gridCol w:w="205"/>
        <w:gridCol w:w="227"/>
        <w:gridCol w:w="202"/>
        <w:gridCol w:w="227"/>
        <w:gridCol w:w="196"/>
        <w:gridCol w:w="231"/>
        <w:gridCol w:w="196"/>
        <w:gridCol w:w="236"/>
        <w:gridCol w:w="193"/>
        <w:gridCol w:w="158"/>
        <w:gridCol w:w="80"/>
        <w:gridCol w:w="223"/>
        <w:gridCol w:w="206"/>
        <w:gridCol w:w="75"/>
        <w:gridCol w:w="354"/>
        <w:gridCol w:w="227"/>
        <w:gridCol w:w="201"/>
        <w:gridCol w:w="382"/>
        <w:gridCol w:w="48"/>
        <w:gridCol w:w="426"/>
        <w:gridCol w:w="97"/>
        <w:gridCol w:w="331"/>
        <w:gridCol w:w="252"/>
        <w:gridCol w:w="184"/>
        <w:gridCol w:w="399"/>
        <w:gridCol w:w="70"/>
        <w:gridCol w:w="429"/>
        <w:gridCol w:w="124"/>
        <w:gridCol w:w="308"/>
        <w:gridCol w:w="277"/>
        <w:gridCol w:w="151"/>
        <w:gridCol w:w="473"/>
        <w:gridCol w:w="203"/>
      </w:tblGrid>
      <w:tr>
        <w:trPr>
          <w:trHeight w:val="241" w:hRule="atLeast"/>
        </w:trPr>
        <w:tc>
          <w:tcPr>
            <w:tcW w:w="13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или (л/с)</w:t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7" w:hRule="atLeast"/>
        </w:trPr>
        <w:tc>
          <w:tcPr>
            <w:tcW w:w="138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00" w:leader="none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11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42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6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014" w:type="dxa"/>
            <w:gridSpan w:val="20"/>
            <w:tcBorders>
              <w:left w:val="thickThinLargeGap" w:sz="6" w:space="0" w:color="C0C0C0"/>
            </w:tcBorders>
            <w:shd w:color="auto"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03" w:type="dxa"/>
            <w:tcBorders/>
            <w:shd w:color="auto"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51" w:hRule="atLeast"/>
        </w:trPr>
        <w:tc>
          <w:tcPr>
            <w:tcW w:w="4153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отделения Банка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(для физических лиц – клиентов ОАО Сбербанк России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4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7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8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2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 (</w:t>
      </w:r>
      <w:r>
        <w:rPr>
          <w:bCs/>
          <w:sz w:val="22"/>
          <w:szCs w:val="22"/>
        </w:rPr>
        <w:t>название отделения Банка указывается физическими лицами - клиентами ОАО Сбербанк России</w:t>
      </w:r>
      <w:r>
        <w:rPr>
          <w:sz w:val="22"/>
          <w:szCs w:val="22"/>
        </w:rPr>
        <w:t>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Заявитель, (представитель Заявителя, действующий по доверенности): ______________________</w:t>
      </w:r>
      <w:r>
        <w:rPr>
          <w:sz w:val="22"/>
          <w:szCs w:val="22"/>
        </w:rPr>
        <w:t>_________________________________________________________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 и подпись Заявителя или его уполномоченного представителя или юридического лица)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М.П. </w:t>
      </w:r>
      <w:r>
        <w:rPr>
          <w:sz w:val="22"/>
          <w:szCs w:val="22"/>
        </w:rPr>
        <w:t>(при наличии)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>
      <w:pPr>
        <w:pStyle w:val="Normal"/>
        <w:rPr>
          <w:b/>
          <w:b/>
          <w:sz w:val="22"/>
          <w:szCs w:val="22"/>
        </w:rPr>
      </w:pPr>
      <w:r>
        <w:rPr>
          <w:sz w:val="22"/>
          <w:szCs w:val="22"/>
        </w:rPr>
        <w:t>4 КПП в отношении юридических лиц.</w:t>
      </w:r>
      <w:r>
        <w:rPr>
          <w:b/>
          <w:sz w:val="22"/>
          <w:szCs w:val="22"/>
        </w:rPr>
        <w:t xml:space="preserve"> </w:t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№2 </w:t>
      </w:r>
    </w:p>
    <w:p>
      <w:pPr>
        <w:pStyle w:val="Normal"/>
        <w:jc w:val="right"/>
        <w:rPr>
          <w:bCs/>
          <w:i/>
          <w:i/>
          <w:sz w:val="22"/>
          <w:szCs w:val="22"/>
        </w:rPr>
      </w:pPr>
      <w:r>
        <w:rPr>
          <w:i/>
          <w:sz w:val="22"/>
          <w:szCs w:val="22"/>
        </w:rPr>
        <w:t>Форма договора купли-продажи земельного участка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ДОГОВОР № ___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купли-продажи земельного участка на аукционе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с.____________                                                                                                «___» ____________ 20___ года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Администрация_______________________________________</w:t>
      </w:r>
      <w:r>
        <w:rPr>
          <w:sz w:val="22"/>
          <w:szCs w:val="22"/>
        </w:rPr>
        <w:t xml:space="preserve">, в лице ______________, действующего на основании __________, именуемая в дальнейшем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>, с одной стороны, и ______</w:t>
      </w:r>
      <w:r>
        <w:rPr>
          <w:b/>
          <w:sz w:val="22"/>
          <w:szCs w:val="22"/>
        </w:rPr>
        <w:t>_______________________</w:t>
      </w:r>
      <w:r>
        <w:rPr>
          <w:sz w:val="22"/>
          <w:szCs w:val="22"/>
        </w:rPr>
        <w:t xml:space="preserve">, именуемый в дальнейшем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>, с другой стороны,</w:t>
      </w:r>
      <w:r>
        <w:rPr>
          <w:b/>
          <w:sz w:val="22"/>
          <w:szCs w:val="22"/>
        </w:rPr>
        <w:t xml:space="preserve"> (вместе - «Стороны»), </w:t>
      </w:r>
      <w:r>
        <w:rPr>
          <w:sz w:val="22"/>
          <w:szCs w:val="22"/>
        </w:rPr>
        <w:t>в соответствии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постановлением администрации__________________ от «__» __________ 20____ года №______ «О проведении аукциона по продаже земельного участка», на основании протокола №_____ от «___»___________20____ года о результатах торгов по продаже земельного участка,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заключили настоящий Договор о нижеследующем: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Предмет договора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>
        <w:rPr>
          <w:b/>
          <w:sz w:val="22"/>
          <w:szCs w:val="22"/>
        </w:rPr>
        <w:t>«Продавец»</w:t>
      </w:r>
      <w:r>
        <w:rPr>
          <w:sz w:val="22"/>
          <w:szCs w:val="22"/>
        </w:rPr>
        <w:t xml:space="preserve"> продал и передал, а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на условиях настоящего договора приобрел и принял земельный участок из земель ___________________ (далее – Участок):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 Участка: </w:t>
      </w:r>
      <w:r>
        <w:rPr>
          <w:b/>
          <w:sz w:val="22"/>
          <w:szCs w:val="22"/>
        </w:rPr>
        <w:t>____________________</w:t>
      </w:r>
      <w:r>
        <w:rPr>
          <w:sz w:val="22"/>
          <w:szCs w:val="22"/>
        </w:rPr>
        <w:t xml:space="preserve">, </w:t>
      </w:r>
    </w:p>
    <w:p>
      <w:pPr>
        <w:pStyle w:val="Style22"/>
        <w:suppressAutoHyphens w:val="true"/>
        <w:ind w:firstLine="720"/>
        <w:rPr/>
      </w:pPr>
      <w:r>
        <w:rPr/>
        <w:t xml:space="preserve">местоположение: __________________________________________________,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площадь </w:t>
      </w:r>
      <w:r>
        <w:rPr>
          <w:b/>
          <w:sz w:val="22"/>
          <w:szCs w:val="22"/>
        </w:rPr>
        <w:t xml:space="preserve">____ </w:t>
      </w:r>
      <w:r>
        <w:rPr>
          <w:sz w:val="22"/>
          <w:szCs w:val="22"/>
        </w:rPr>
        <w:t xml:space="preserve">кв. м., 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_______________________________________________________,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использование: ____________________________________________,</w:t>
      </w:r>
    </w:p>
    <w:p>
      <w:pPr>
        <w:pStyle w:val="Normal"/>
        <w:suppressAutoHyphens w:val="true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ограничения, обременения: ___________________</w:t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1.2. Условия продажи Участка и его использования </w:t>
      </w:r>
      <w:r>
        <w:rPr>
          <w:b/>
          <w:sz w:val="22"/>
          <w:szCs w:val="22"/>
        </w:rPr>
        <w:t>«Покупателю»</w:t>
      </w:r>
      <w:r>
        <w:rPr>
          <w:sz w:val="22"/>
          <w:szCs w:val="22"/>
        </w:rPr>
        <w:t xml:space="preserve"> известны. </w:t>
      </w:r>
      <w:r>
        <w:rPr>
          <w:b/>
          <w:sz w:val="22"/>
          <w:szCs w:val="22"/>
        </w:rPr>
        <w:t>«Покупатель»</w:t>
      </w:r>
      <w:r>
        <w:rPr>
          <w:sz w:val="22"/>
          <w:szCs w:val="22"/>
        </w:rPr>
        <w:t xml:space="preserve"> признает, что состояние Участка соответствует условиям настоящего Договора, сведения, предоставленные </w:t>
      </w:r>
      <w:r>
        <w:rPr>
          <w:b/>
          <w:sz w:val="22"/>
          <w:szCs w:val="22"/>
        </w:rPr>
        <w:t>«Продавцом»</w:t>
      </w:r>
      <w:r>
        <w:rPr>
          <w:sz w:val="22"/>
          <w:szCs w:val="22"/>
        </w:rPr>
        <w:t xml:space="preserve"> (включая документацию, отражающую расположение Участка) соответствуют действительному состоянию Участка, претензий у сторон нет, в связи с чем акт приема-передачи не составляется.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Сумма договора, порядок расчетов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2.1. Сумма договора определяется окончательной (продажной) ценой,  установленной в процессе торгов на _______________________________________________________________</w:t>
      </w:r>
      <w:r>
        <w:rPr>
          <w:b/>
          <w:sz w:val="22"/>
          <w:szCs w:val="22"/>
        </w:rPr>
        <w:t xml:space="preserve"> ,                                                                                                                    </w:t>
      </w:r>
      <w:r>
        <w:rPr>
          <w:sz w:val="22"/>
          <w:szCs w:val="22"/>
        </w:rPr>
        <w:t>(конкурсе, аукционе)</w:t>
      </w:r>
    </w:p>
    <w:p>
      <w:pPr>
        <w:pStyle w:val="Style18"/>
        <w:jc w:val="both"/>
        <w:rPr/>
      </w:pPr>
      <w:r>
        <w:rPr/>
        <w:t>и составляет _________(________________________________) рублей, НДС не облагается.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2"/>
          <w:szCs w:val="22"/>
        </w:rPr>
        <w:t xml:space="preserve">2.2. Покупатель производит оплату путем перечисления на  счет Продавца всей суммы договора в течение </w:t>
      </w:r>
      <w:r>
        <w:rPr>
          <w:rFonts w:eastAsia="Times New Roman" w:cs="Times New Roman"/>
          <w:color w:val="auto"/>
          <w:kern w:val="0"/>
          <w:sz w:val="22"/>
          <w:szCs w:val="22"/>
          <w:lang w:val="ru-RU" w:eastAsia="ru-RU" w:bidi="ar-SA"/>
        </w:rPr>
        <w:t>3</w:t>
      </w:r>
      <w:r>
        <w:rPr>
          <w:sz w:val="22"/>
          <w:szCs w:val="22"/>
        </w:rPr>
        <w:t>0 дней с момента подписания договора по следующим платежным реквизитам: _____________________________________________________________ _______________________________________________________________________.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2.3. В счет оплаты засчитывается сумма внесенного Покупателем задатка  в размере ____ (____________)  рублей.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Покупатель в платежном поручении указывает: "Оплата за земельный участка согласно договора купли-пpодажи  от "____" __________    20___ г.   N _____ НДС не облагается".</w:t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uppressAutoHyphens w:val="true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3. Права и обязанности сторон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 Покупатель обязан:</w:t>
      </w:r>
    </w:p>
    <w:p>
      <w:pPr>
        <w:pStyle w:val="Normal"/>
        <w:widowControl/>
        <w:tabs>
          <w:tab w:val="clear" w:pos="708"/>
          <w:tab w:val="left" w:pos="825" w:leader="none"/>
        </w:tabs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3.1.1. Осуществить расчеты по договору в соответствии с разделом 2 настоящего договора.</w:t>
      </w:r>
    </w:p>
    <w:p>
      <w:pPr>
        <w:pStyle w:val="Style18"/>
        <w:widowControl/>
        <w:bidi w:val="0"/>
        <w:spacing w:before="0" w:after="0"/>
        <w:ind w:left="0" w:right="0" w:firstLine="567"/>
        <w:jc w:val="both"/>
        <w:rPr/>
      </w:pPr>
      <w:r>
        <w:rPr/>
        <w:t>3.1.2. Выполнять требования, вытекающие из установленных ограничений  прав на использование земельного участка, обременений, сервитутов.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ru-RU" w:bidi="ar-SA"/>
        </w:rPr>
        <w:t>3</w:t>
      </w:r>
      <w:r>
        <w:rPr>
          <w:sz w:val="22"/>
          <w:szCs w:val="22"/>
        </w:rPr>
        <w:t>. Предоставлять соответствующим службам возможность контроля за  надлежащим выполнением условий по настоящему договору.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3.1.</w:t>
      </w:r>
      <w:r>
        <w:rPr>
          <w:rFonts w:eastAsia="Times New Roman" w:cs="Times New Roman"/>
          <w:color w:val="auto"/>
          <w:kern w:val="0"/>
          <w:sz w:val="22"/>
          <w:szCs w:val="22"/>
          <w:lang w:val="en-US" w:eastAsia="ru-RU" w:bidi="ar-SA"/>
        </w:rPr>
        <w:t>4</w:t>
      </w:r>
      <w:r>
        <w:rPr>
          <w:sz w:val="22"/>
          <w:szCs w:val="22"/>
        </w:rPr>
        <w:t>. Покупатель обязуется произвести государственную регистрацию перехода к нему права собственности на земельный участок, являющийся предметом Договора и оплатить все расходы, связанные с оформлением и регистрацией.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3.2. Продавец имеет право: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3.2.1. Отказаться от исполнения настоящего договора в случаях невыполнения Покупателем обязательств настоящего договора независимо от последующего исполнения Покупателем указанных обязательств.</w:t>
      </w:r>
    </w:p>
    <w:p>
      <w:pPr>
        <w:pStyle w:val="Normal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случае настоящий договор считается расторгнутым по истечении 30 дней с момента направления Продавцом в адрес Покупателя уведомления об отказе от договора 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Переход права собственности</w:t>
      </w:r>
    </w:p>
    <w:p>
      <w:pPr>
        <w:pStyle w:val="Normal"/>
        <w:widowControl/>
        <w:bidi w:val="0"/>
        <w:spacing w:before="0" w:after="0"/>
        <w:ind w:left="0" w:right="0" w:firstLine="510"/>
        <w:jc w:val="both"/>
        <w:rPr/>
      </w:pPr>
      <w:r>
        <w:rPr>
          <w:sz w:val="22"/>
          <w:szCs w:val="22"/>
        </w:rPr>
        <w:t>4.1. Право собственности Покупателя на земельный участок в соответствии со статьями 131, 551 Гражданского Кодекса Российской Федерации возникает с момента государственной регистрации перехода к нему права собственности на земельный участок, являющийся предметом Договора в Управлении Федеральной службы государственной регистрации, кадастра и картографии по Саратовской области.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2"/>
          <w:szCs w:val="22"/>
        </w:rPr>
        <w:t>4.2. Обязательства Продавца передать земельный участок, а Покупателя принять земельный участок считаются исполненными с момента государственной регистрации Договора. Дополнительно Сторонами акт приема-передачи земельного участка составляться не будет.</w:t>
      </w:r>
    </w:p>
    <w:p>
      <w:pPr>
        <w:pStyle w:val="12"/>
        <w:numPr>
          <w:ilvl w:val="0"/>
          <w:numId w:val="3"/>
        </w:numPr>
        <w:spacing w:lineRule="auto" w:line="240" w:before="0" w:after="0"/>
        <w:contextualSpacing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Рассмотрение споров и ответственность сторон</w:t>
      </w:r>
    </w:p>
    <w:p>
      <w:pPr>
        <w:pStyle w:val="12"/>
        <w:spacing w:lineRule="auto" w:line="240" w:before="0" w:after="0"/>
        <w:contextualSpacing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5.1. Стороны несут  ответственность  за  невыполнение  либо  ненадлежащее выполнение  условий  Договора,   в   соответствии   с   законодательством Российской Федерации.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5.2. Споры,  возникающие  при   исполнении   Договора,     разрешаются по соглашению между Продавцом и Покупателем. При невозможности достижения соглашения между  сторонами,  возникшие споры  разрешаются  в  суде в     соответствии с законодательством Российской Федерации.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5.3. При наступлении обстоятельств невозможности полного или частичного исполнения любой из сторон обязательств по настоящему Договору, а именно: землетрясения, стихийного бедствия или других обстоятельств непреодолимой силы, срок исполнения обязательств по настоящему Договору отодвигается соразмерно времени, в течение которого будут действовать такие обстоятельства или их последствия.</w:t>
      </w:r>
    </w:p>
    <w:p>
      <w:pPr>
        <w:pStyle w:val="BodyText3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2"/>
          <w:szCs w:val="22"/>
        </w:rPr>
        <w:t>5.4. Сторона, для которой создалась невозможность исполнения обязательств по настоящему Договору, должна незамедлительно известить другую сторону о наступлении обстоятельств, препятствующих исполнению обязательств.</w:t>
      </w:r>
    </w:p>
    <w:p>
      <w:pPr>
        <w:pStyle w:val="Style18"/>
        <w:ind w:firstLine="709"/>
        <w:rPr>
          <w:b/>
          <w:b/>
          <w:bCs/>
          <w:color w:val="000080"/>
        </w:rPr>
      </w:pPr>
      <w:r>
        <w:rPr>
          <w:b/>
          <w:bCs/>
          <w:color w:val="000080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Заключительные положения</w:t>
      </w:r>
    </w:p>
    <w:p>
      <w:pPr>
        <w:pStyle w:val="1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6.1. Договор составлен в 3-х экземплярах, имеющих одинаковую юридическую силу.</w:t>
      </w:r>
    </w:p>
    <w:p>
      <w:pPr>
        <w:pStyle w:val="Style22"/>
        <w:rPr>
          <w:b/>
          <w:b/>
        </w:rPr>
      </w:pPr>
      <w:r>
        <w:rPr>
          <w:b/>
        </w:rPr>
      </w:r>
    </w:p>
    <w:p>
      <w:pPr>
        <w:pStyle w:val="Style22"/>
        <w:jc w:val="center"/>
        <w:rPr>
          <w:b/>
          <w:b/>
        </w:rPr>
      </w:pPr>
      <w:r>
        <w:rPr>
          <w:b/>
        </w:rPr>
        <w:t>7. Реквизиты сторон</w:t>
      </w:r>
    </w:p>
    <w:p>
      <w:pPr>
        <w:pStyle w:val="Normal"/>
        <w:suppressAutoHyphens w:val="true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ind w:left="180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Подписи Сторон</w:t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47"/>
        <w:gridCol w:w="5240"/>
      </w:tblGrid>
      <w:tr>
        <w:trPr>
          <w:trHeight w:val="898" w:hRule="atLeast"/>
        </w:trPr>
        <w:tc>
          <w:tcPr>
            <w:tcW w:w="4947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Продавец: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 /__________/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5240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Покупатель:</w:t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4860" w:leader="none"/>
              </w:tabs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 /_____________/</w:t>
            </w:r>
          </w:p>
        </w:tc>
      </w:tr>
    </w:tbl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25" w:right="588" w:header="0" w:top="788" w:footer="0" w:bottom="562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sz w:val="20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3bd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9b7da7"/>
    <w:pPr>
      <w:spacing w:before="108" w:after="108"/>
      <w:jc w:val="center"/>
      <w:outlineLvl w:val="0"/>
    </w:pPr>
    <w:rPr>
      <w:rFonts w:ascii="Arial" w:hAnsi="Arial" w:eastAsia="Calibri" w:cs="Arial" w:eastAsiaTheme="minorHAnsi"/>
      <w:b/>
      <w:bCs/>
      <w:color w:val="26282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qFormat/>
    <w:rsid w:val="000b3bdd"/>
    <w:rPr>
      <w:rFonts w:ascii="Times New Roman" w:hAnsi="Times New Roman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unhideWhenUsed/>
    <w:rsid w:val="00441169"/>
    <w:rPr>
      <w:color w:val="0000FF" w:themeColor="hyperlink"/>
      <w:u w:val="single"/>
    </w:rPr>
  </w:style>
  <w:style w:type="character" w:styleId="Style16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qFormat/>
    <w:rsid w:val="00067718"/>
    <w:rPr>
      <w:vertAlign w:val="superscript"/>
    </w:rPr>
  </w:style>
  <w:style w:type="character" w:styleId="11" w:customStyle="1">
    <w:name w:val="Заголовок 1 Знак"/>
    <w:basedOn w:val="DefaultParagraphFont"/>
    <w:link w:val="1"/>
    <w:qFormat/>
    <w:rsid w:val="009b7da7"/>
    <w:rPr>
      <w:rFonts w:ascii="Arial" w:hAnsi="Arial" w:cs="Arial"/>
      <w:b/>
      <w:bCs/>
      <w:color w:val="26282F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uiPriority w:val="99"/>
    <w:semiHidden/>
    <w:qFormat/>
    <w:rsid w:val="009b7da7"/>
    <w:rPr>
      <w:rFonts w:ascii="Calibri" w:hAnsi="Calibri" w:eastAsia="Times New Roman" w:cs="Times New Roman"/>
      <w:sz w:val="16"/>
      <w:szCs w:val="16"/>
      <w:lang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0b3bdd"/>
    <w:pPr>
      <w:jc w:val="center"/>
    </w:pPr>
    <w:rPr>
      <w:sz w:val="22"/>
      <w:szCs w:val="22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2">
    <w:name w:val="Body Text Indent"/>
    <w:basedOn w:val="Normal"/>
    <w:rsid w:val="000b3bdd"/>
    <w:pPr>
      <w:ind w:firstLine="708"/>
      <w:jc w:val="both"/>
    </w:pPr>
    <w:rPr>
      <w:sz w:val="22"/>
      <w:szCs w:val="22"/>
    </w:rPr>
  </w:style>
  <w:style w:type="paragraph" w:styleId="ConsPlusNonformat" w:customStyle="1">
    <w:name w:val="ConsPlusNonformat"/>
    <w:qFormat/>
    <w:rsid w:val="000b3bdd"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qFormat/>
    <w:rsid w:val="000b3bdd"/>
    <w:pPr>
      <w:widowControl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b3bdd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3">
    <w:name w:val="Body Text 3"/>
    <w:basedOn w:val="Normal"/>
    <w:uiPriority w:val="99"/>
    <w:semiHidden/>
    <w:unhideWhenUsed/>
    <w:qFormat/>
    <w:rsid w:val="009b7da7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12" w:customStyle="1">
    <w:name w:val="Абзац списка1"/>
    <w:basedOn w:val="Normal"/>
    <w:qFormat/>
    <w:rsid w:val="009b7da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va_omo@rambler.ru" TargetMode="External"/><Relationship Id="rId3" Type="http://schemas.openxmlformats.org/officeDocument/2006/relationships/hyperlink" Target="consultantplus://offline/ref=B7F625AD85D2B345EC666D9FC4CF5D3AAEE994FB927D112B3F4619F8B85FFA58CBB4AD7246sCCFO" TargetMode="External"/><Relationship Id="rId4" Type="http://schemas.openxmlformats.org/officeDocument/2006/relationships/hyperlink" Target="consultantplus://offline/ref=B7F625AD85D2B345EC666D9FC4CF5D3AAEE994FB927D112B3F4619F8B85FFA58CBB4AD7247sCC6O" TargetMode="External"/><Relationship Id="rId5" Type="http://schemas.openxmlformats.org/officeDocument/2006/relationships/hyperlink" Target="consultantplus://offline/ref=B7F625AD85D2B345EC666D9FC4CF5D3AAEE994FB927D112B3F4619F8B85FFA58CBB4AD734EsCC4O" TargetMode="External"/><Relationship Id="rId6" Type="http://schemas.openxmlformats.org/officeDocument/2006/relationships/hyperlink" Target="http://ivanteevka.sarmo.ru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LibreOffice/6.3.4.2$Windows_x86 LibreOffice_project/60da17e045e08f1793c57c00ba83cdfce946d0aa</Application>
  <Pages>8</Pages>
  <Words>3290</Words>
  <Characters>25997</Characters>
  <CharactersWithSpaces>29550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2016-09-30T10:37:00Z</dcterms:created>
  <dc:creator>456</dc:creator>
  <dc:description/>
  <dc:language>ru-RU</dc:language>
  <cp:lastModifiedBy/>
  <cp:lastPrinted>2021-07-08T08:31:57Z</cp:lastPrinted>
  <dcterms:modified xsi:type="dcterms:W3CDTF">2021-09-14T09:23:41Z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