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3.png" ContentType="image/png"/>
  <Override PartName="/word/media/image1.jpeg" ContentType="image/jpeg"/>
  <Override PartName="/word/media/image2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emf" ContentType="image/x-emf"/>
  <Override PartName="/word/media/image15.emf" ContentType="image/x-emf"/>
  <Override PartName="/word/media/image16.jpeg" ContentType="image/jpeg"/>
  <Override PartName="/word/fontTable.xml" ContentType="application/vnd.openxmlformats-officedocument.wordprocessingml.fontTable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_rels/chart1.xml.rels" ContentType="application/vnd.openxmlformats-package.relationships+xml"/>
  <Override PartName="/word/charts/_rels/chart2.xml.rels" ContentType="application/vnd.openxmlformats-package.relationships+xml"/>
  <Override PartName="/word/charts/_rels/chart3.xml.rels" ContentType="application/vnd.openxmlformats-package.relationships+xml"/>
  <Override PartName="/word/theme/theme1.xml" ContentType="application/vnd.openxmlformats-officedocument.theme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Microsoft_Excel_Worksheet1.xlsx" ContentType="application/vnd.openxmlformats-officedocument.spreadsheetml.sheet"/>
  <Override PartName="/word/embeddings/Microsoft_Excel_Worksheet2.xlsx" ContentType="application/vnd.openxmlformats-officedocument.spreadsheetml.sheet"/>
  <Override PartName="/word/embeddings/Microsoft_Excel_Worksheet3.xlsx" ContentType="application/vnd.openxmlformats-officedocument.spreadsheetml.sheet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EAF1DD"/>
  <w:body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Calibri"/>
          <w:b/>
          <w:b/>
          <w:sz w:val="28"/>
          <w:szCs w:val="28"/>
        </w:rPr>
      </w:pPr>
      <w:r>
        <w:rPr>
          <w:rFonts w:cs="Calibri" w:ascii="Times New Roman" w:hAnsi="Times New Roman"/>
          <w:b/>
          <w:sz w:val="28"/>
          <w:szCs w:val="28"/>
        </w:rPr>
      </w:r>
      <w:r>
        <mc:AlternateContent>
          <mc:Choice Requires="wps">
            <w:drawing>
              <wp:anchor behindDoc="0" distT="0" distB="0" distL="114300" distR="0" simplePos="0" locked="0" layoutInCell="1" allowOverlap="1" relativeHeight="4">
                <wp:simplePos x="0" y="0"/>
                <wp:positionH relativeFrom="column">
                  <wp:posOffset>-652780</wp:posOffset>
                </wp:positionH>
                <wp:positionV relativeFrom="paragraph">
                  <wp:posOffset>67945</wp:posOffset>
                </wp:positionV>
                <wp:extent cx="7075170" cy="1882140"/>
                <wp:effectExtent l="0" t="0" r="41577260" b="41577260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5170" cy="1882140"/>
                        </a:xfrm>
                        <a:prstGeom prst="rect"/>
                        <a:gradFill>
                          <a:gsLst>
                            <a:gs pos="0">
                              <a:srgbClr val="95b3d7"/>
                            </a:gs>
                            <a:gs pos="100000">
                              <a:srgbClr val="dce6f2"/>
                            </a:gs>
                          </a:gsLst>
                          <a:lin ang="5400000"/>
                        </a:gradFill>
                        <a:ln w="635">
                          <a:solidFill>
                            <a:srgbClr val="376092"/>
                          </a:solidFill>
                        </a:ln>
                        <a:effectLst>
                          <a:outerShdw dist="58799095" dir="270000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tyle20"/>
                              <w:spacing w:lineRule="auto" w:line="240"/>
                              <w:jc w:val="center"/>
                              <w:rPr>
                                <w:rFonts w:ascii="Times New Roman" w:hAnsi="Times New Roman"/>
                                <w:b/>
                                <w:b/>
                                <w:color w:val="17365D" w:themeColor="text2" w:themeShade="bf"/>
                                <w:sz w:val="9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96"/>
                                <w:szCs w:val="56"/>
                              </w:rPr>
                              <w:t>Бюджет для граждан</w:t>
                            </w:r>
                          </w:p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376092" strokeweight="0pt" fillcolor="#95B3D7" style="position:absolute;rotation:0;width:557.1pt;height:148.2pt;mso-wrap-distance-left:9pt;mso-wrap-distance-right:9pt;mso-wrap-distance-top:0pt;mso-wrap-distance-bottom:0pt;margin-top:5.35pt;mso-position-vertical-relative:text;margin-left:-51.4pt;mso-position-horizontal-relative:text">
                <v:shadow on="t" color="#000000" offset="3273.8pt,3273.8pt"/>
                <v:fill type="gradient" angle="-180" color2="#DCE6F2"/>
                <v:textbox>
                  <w:txbxContent>
                    <w:p>
                      <w:pPr>
                        <w:pStyle w:val="Style20"/>
                        <w:spacing w:lineRule="auto" w:line="240"/>
                        <w:jc w:val="center"/>
                        <w:rPr>
                          <w:rFonts w:ascii="Times New Roman" w:hAnsi="Times New Roman"/>
                          <w:b/>
                          <w:b/>
                          <w:color w:val="17365D" w:themeColor="text2" w:themeShade="bf"/>
                          <w:sz w:val="96"/>
                          <w:szCs w:val="5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96"/>
                          <w:szCs w:val="56"/>
                        </w:rPr>
                        <w:t>Бюджет для граждан</w:t>
                      </w:r>
                    </w:p>
                    <w:p>
                      <w:pPr>
                        <w:pStyle w:val="Style20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>
        <w:rPr>
          <w:rFonts w:ascii="Times New Roman" w:hAnsi="Times New Roman"/>
          <w:b/>
          <w:sz w:val="28"/>
          <w:szCs w:val="28"/>
        </w:rPr>
      </w:r>
      <w:r>
        <mc:AlternateContent>
          <mc:Choice Requires="wps">
            <w:drawing>
              <wp:inline distT="0" distB="0" distL="114300" distR="114300">
                <wp:extent cx="9035415" cy="272415"/>
                <wp:effectExtent l="0" t="0" r="0" b="0"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5415" cy="2724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stroked="f" strokeweight="0pt" style="position:absolute;rotation:0;width:711.45pt;height:21.45pt;mso-wrap-distance-left:9pt;mso-wrap-distance-right:9pt;mso-wrap-distance-top:0pt;mso-wrap-distance-bottom:0pt;margin-top:0pt;mso-position-vertical-relative:text;margin-left:0pt;mso-position-horizontal-relative:text"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  <w:r>
        <mc:AlternateContent>
          <mc:Choice Requires="wps">
            <w:drawing>
              <wp:anchor behindDoc="0" distT="0" distB="0" distL="114300" distR="0" simplePos="0" locked="0" layoutInCell="1" allowOverlap="1" relativeHeight="3">
                <wp:simplePos x="0" y="0"/>
                <wp:positionH relativeFrom="column">
                  <wp:posOffset>-176530</wp:posOffset>
                </wp:positionH>
                <wp:positionV relativeFrom="paragraph">
                  <wp:posOffset>236855</wp:posOffset>
                </wp:positionV>
                <wp:extent cx="6381750" cy="1543050"/>
                <wp:effectExtent l="0" t="0" r="41577260" b="4157726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543050"/>
                        </a:xfrm>
                        <a:prstGeom prst="rect"/>
                        <a:solidFill>
                          <a:srgbClr val="F2DBDB"/>
                        </a:solidFill>
                        <a:ln w="635">
                          <a:solidFill>
                            <a:srgbClr val="365F91"/>
                          </a:solidFill>
                        </a:ln>
                        <a:effectLst>
                          <a:outerShdw dist="58799095" dir="270000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200"/>
                              <w:jc w:val="center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к решению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Совета Николаевского муниципального образования №8 от 20.05.2021г.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  «Об утверждении отчета об исполнении бюджета Николаевского муниципального образования за 2020 год»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56"/>
                                <w:szCs w:val="5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2DBDB" strokecolor="#365F91" strokeweight="0pt" style="position:absolute;rotation:0;width:502.5pt;height:121.5pt;mso-wrap-distance-left:9pt;mso-wrap-distance-right:9pt;mso-wrap-distance-top:0pt;mso-wrap-distance-bottom:0pt;margin-top:18.65pt;mso-position-vertical-relative:text;margin-left:-13.9pt;mso-position-horizontal-relative:text">
                <v:shadow on="t" color="#000000" offset="3273.8pt,3273.8pt"/>
                <v:textbox>
                  <w:txbxContent>
                    <w:p>
                      <w:pPr>
                        <w:pStyle w:val="Style20"/>
                        <w:spacing w:lineRule="auto" w:line="240" w:before="0" w:after="200"/>
                        <w:jc w:val="center"/>
                        <w:rPr/>
                      </w:pP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к решению </w:t>
                      </w: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Совета Николаевского муниципального образования №8 от 20.05.2021г.</w:t>
                      </w: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   «Об утверждении отчета об исполнении бюджета Николаевского муниципального образования за 2020 год»</w:t>
                      </w: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56"/>
                          <w:szCs w:val="56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  <w:r>
        <mc:AlternateContent>
          <mc:Choice Requires="wps">
            <w:drawing>
              <wp:anchor behindDoc="0" distT="0" distB="0" distL="114300" distR="0" simplePos="0" locked="0" layoutInCell="1" allowOverlap="1" relativeHeight="5">
                <wp:simplePos x="0" y="0"/>
                <wp:positionH relativeFrom="column">
                  <wp:posOffset>985520</wp:posOffset>
                </wp:positionH>
                <wp:positionV relativeFrom="paragraph">
                  <wp:posOffset>323850</wp:posOffset>
                </wp:positionV>
                <wp:extent cx="4124325" cy="3362325"/>
                <wp:effectExtent l="0" t="0" r="41577260" b="4157726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3362325"/>
                        </a:xfrm>
                        <a:prstGeom prst="rect"/>
                        <a:solidFill>
                          <a:srgbClr val="F2DBDB"/>
                        </a:solidFill>
                        <a:ln w="635">
                          <a:solidFill>
                            <a:srgbClr val="365F91"/>
                          </a:solidFill>
                        </a:ln>
                        <a:effectLst>
                          <a:outerShdw dist="58799095" dir="270000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200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56"/>
                                <w:szCs w:val="56"/>
                              </w:rPr>
                              <w:drawing>
                                <wp:inline distT="0" distB="0" distL="19050" distR="9525">
                                  <wp:extent cx="3533775" cy="3105150"/>
                                  <wp:effectExtent l="0" t="0" r="0" b="0"/>
                                  <wp:docPr id="5" name="Рисунок 8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Рисунок 8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3775" cy="3105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2DBDB" strokecolor="#365F91" strokeweight="0pt" style="position:absolute;rotation:0;width:324.75pt;height:264.75pt;mso-wrap-distance-left:9pt;mso-wrap-distance-right:9pt;mso-wrap-distance-top:0pt;mso-wrap-distance-bottom:0pt;margin-top:25.5pt;mso-position-vertical-relative:text;margin-left:77.6pt;mso-position-horizontal-relative:text">
                <v:shadow on="t" color="#000000" offset="3273.8pt,3273.8pt"/>
                <v:textbox>
                  <w:txbxContent>
                    <w:p>
                      <w:pPr>
                        <w:pStyle w:val="Style20"/>
                        <w:spacing w:lineRule="auto" w:line="240" w:before="0" w:after="200"/>
                        <w:rPr/>
                      </w:pP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56"/>
                          <w:szCs w:val="56"/>
                        </w:rPr>
                        <w:drawing>
                          <wp:inline distT="0" distB="0" distL="19050" distR="9525">
                            <wp:extent cx="3533775" cy="3105150"/>
                            <wp:effectExtent l="0" t="0" r="0" b="0"/>
                            <wp:docPr id="6" name="Рисунок 8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8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3775" cy="3105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color w:val="E36C0A" w:themeColor="accent6" w:themeShade="bf"/>
          <w:sz w:val="72"/>
          <w:szCs w:val="72"/>
        </w:rPr>
      </w:pPr>
      <w:r>
        <w:rPr>
          <w:rFonts w:ascii="Times New Roman" w:hAnsi="Times New Roman"/>
          <w:b/>
          <w:color w:val="E36C0A" w:themeColor="accent6" w:themeShade="bf"/>
          <w:sz w:val="72"/>
          <w:szCs w:val="72"/>
        </w:rPr>
      </w:r>
    </w:p>
    <w:p>
      <w:pPr>
        <w:pStyle w:val="Normal"/>
        <w:tabs>
          <w:tab w:val="left" w:pos="3210" w:leader="none"/>
        </w:tabs>
        <w:spacing w:lineRule="auto" w:line="240" w:before="0" w:after="0"/>
        <w:rPr>
          <w:rFonts w:ascii="Times New Roman" w:hAnsi="Times New Roman"/>
          <w:b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</w:r>
    </w:p>
    <w:p>
      <w:pPr>
        <w:pStyle w:val="Normal"/>
        <w:shd w:val="clear" w:color="auto" w:fill="EAF1DD" w:themeFill="accent3" w:themeFillTint="33"/>
        <w:spacing w:lineRule="auto" w:line="240"/>
        <w:ind w:firstLine="708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Уважаемые жители Николаевского муниципального образования.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 прежде всего для жителей,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Николаевского муниципального образования.</w:t>
      </w:r>
    </w:p>
    <w:p>
      <w:pPr>
        <w:pStyle w:val="Normal"/>
        <w:spacing w:lineRule="auto" w:line="240"/>
        <w:ind w:firstLine="708"/>
        <w:rPr>
          <w:rFonts w:ascii="Times New Roman" w:hAnsi="Times New Roman"/>
          <w:b/>
          <w:b/>
          <w:sz w:val="30"/>
          <w:szCs w:val="30"/>
        </w:rPr>
      </w:pPr>
      <w:r>
        <w:rPr/>
        <w:drawing>
          <wp:inline distT="0" distB="0" distL="19050" distR="9525">
            <wp:extent cx="5972175" cy="3181350"/>
            <wp:effectExtent l="0" t="0" r="0" b="0"/>
            <wp:docPr id="7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0"/>
          <w:szCs w:val="30"/>
        </w:rPr>
        <w:t xml:space="preserve">   </w:t>
      </w:r>
      <w:r>
        <w:rPr>
          <w:rFonts w:ascii="Times New Roman" w:hAnsi="Times New Roman"/>
          <w:b/>
          <w:sz w:val="32"/>
          <w:szCs w:val="32"/>
        </w:rPr>
        <w:t>Что такое бюджет?</w:t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19050" distR="5080">
            <wp:extent cx="6338570" cy="3709670"/>
            <wp:effectExtent l="0" t="0" r="0" b="0"/>
            <wp:docPr id="8" name="Рисунок 9" descr="http://900igr.net/up/datas/75667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 descr="http://900igr.net/up/datas/75667/0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57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Исполнение бюджета Николаевского муниципального образования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 2020 год</w:t>
      </w:r>
    </w:p>
    <w:p>
      <w:pPr>
        <w:pStyle w:val="Normal"/>
        <w:spacing w:lineRule="auto" w:line="240" w:before="0" w:after="0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тыс. руб.</w:t>
      </w:r>
    </w:p>
    <w:tbl>
      <w:tblPr>
        <w:tblW w:w="10173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5353"/>
        <w:gridCol w:w="2268"/>
        <w:gridCol w:w="2552"/>
      </w:tblGrid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2020 года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 года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1701,9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1805,7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1157,2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1261,0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544,7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544,7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1996,2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1978,6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1371,5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1356,9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90,9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90,9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530,7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527,7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-294,3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-172,9</w:t>
            </w:r>
          </w:p>
        </w:tc>
      </w:tr>
    </w:tbl>
    <w:p>
      <w:pPr>
        <w:pStyle w:val="Normal"/>
        <w:spacing w:lineRule="auto" w:lin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32"/>
          <w:szCs w:val="32"/>
        </w:rPr>
        <w:t>Зачем нужны бюджеты?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color w:val="404040"/>
          <w:sz w:val="32"/>
          <w:szCs w:val="32"/>
        </w:rPr>
      </w:pP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Ос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н</w:t>
      </w:r>
      <w:r>
        <w:rPr>
          <w:rFonts w:ascii="Times New Roman" w:hAnsi="Times New Roman"/>
          <w:b/>
          <w:bCs/>
          <w:color w:val="404040"/>
          <w:spacing w:val="-9"/>
          <w:position w:val="0"/>
          <w:sz w:val="32"/>
          <w:szCs w:val="32"/>
        </w:rPr>
        <w:t>о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в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н</w:t>
      </w:r>
      <w:r>
        <w:rPr>
          <w:rFonts w:ascii="Times New Roman" w:hAnsi="Times New Roman"/>
          <w:b/>
          <w:bCs/>
          <w:color w:val="404040"/>
          <w:spacing w:val="-1"/>
          <w:position w:val="0"/>
          <w:sz w:val="32"/>
          <w:szCs w:val="32"/>
        </w:rPr>
        <w:t>ы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е</w:t>
      </w:r>
      <w:r>
        <w:rPr>
          <w:rFonts w:ascii="Times New Roman" w:hAnsi="Times New Roman"/>
          <w:b/>
          <w:bCs/>
          <w:color w:val="404040"/>
          <w:spacing w:val="-7"/>
          <w:position w:val="0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color w:val="404040"/>
          <w:spacing w:val="-4"/>
          <w:position w:val="0"/>
          <w:sz w:val="32"/>
          <w:szCs w:val="32"/>
        </w:rPr>
        <w:t>х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ар</w:t>
      </w:r>
      <w:r>
        <w:rPr>
          <w:rFonts w:ascii="Times New Roman" w:hAnsi="Times New Roman"/>
          <w:b/>
          <w:bCs/>
          <w:color w:val="404040"/>
          <w:spacing w:val="2"/>
          <w:position w:val="0"/>
          <w:sz w:val="32"/>
          <w:szCs w:val="32"/>
        </w:rPr>
        <w:t>а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к</w:t>
      </w:r>
      <w:r>
        <w:rPr>
          <w:rFonts w:ascii="Times New Roman" w:hAnsi="Times New Roman"/>
          <w:b/>
          <w:bCs/>
          <w:color w:val="404040"/>
          <w:spacing w:val="-3"/>
          <w:position w:val="0"/>
          <w:sz w:val="32"/>
          <w:szCs w:val="32"/>
        </w:rPr>
        <w:t>т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ер</w:t>
      </w:r>
      <w:r>
        <w:rPr>
          <w:rFonts w:ascii="Times New Roman" w:hAnsi="Times New Roman"/>
          <w:b/>
          <w:bCs/>
          <w:color w:val="404040"/>
          <w:spacing w:val="-1"/>
          <w:position w:val="0"/>
          <w:sz w:val="32"/>
          <w:szCs w:val="32"/>
        </w:rPr>
        <w:t>и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с</w:t>
      </w:r>
      <w:r>
        <w:rPr>
          <w:rFonts w:ascii="Times New Roman" w:hAnsi="Times New Roman"/>
          <w:b/>
          <w:bCs/>
          <w:color w:val="404040"/>
          <w:spacing w:val="-3"/>
          <w:position w:val="0"/>
          <w:sz w:val="32"/>
          <w:szCs w:val="32"/>
        </w:rPr>
        <w:t>т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и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к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и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б</w:t>
      </w:r>
      <w:r>
        <w:rPr>
          <w:rFonts w:ascii="Times New Roman" w:hAnsi="Times New Roman"/>
          <w:b/>
          <w:bCs/>
          <w:color w:val="404040"/>
          <w:spacing w:val="-22"/>
          <w:position w:val="0"/>
          <w:sz w:val="32"/>
          <w:szCs w:val="32"/>
        </w:rPr>
        <w:t>ю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д</w:t>
      </w:r>
      <w:r>
        <w:rPr>
          <w:rFonts w:ascii="Times New Roman" w:hAnsi="Times New Roman"/>
          <w:b/>
          <w:bCs/>
          <w:color w:val="404040"/>
          <w:spacing w:val="-5"/>
          <w:position w:val="0"/>
          <w:sz w:val="32"/>
          <w:szCs w:val="32"/>
        </w:rPr>
        <w:t>ж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е</w:t>
      </w:r>
      <w:r>
        <w:rPr>
          <w:rFonts w:ascii="Times New Roman" w:hAnsi="Times New Roman"/>
          <w:b/>
          <w:bCs/>
          <w:color w:val="404040"/>
          <w:spacing w:val="-8"/>
          <w:position w:val="0"/>
          <w:sz w:val="32"/>
          <w:szCs w:val="32"/>
        </w:rPr>
        <w:t>та</w:t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</w:r>
    </w:p>
    <w:tbl>
      <w:tblPr>
        <w:tblStyle w:val="a6"/>
        <w:tblW w:w="9995" w:type="dxa"/>
        <w:jc w:val="left"/>
        <w:tblInd w:w="0" w:type="dxa"/>
        <w:tblCellMar>
          <w:top w:w="0" w:type="dxa"/>
          <w:left w:w="9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347"/>
        <w:gridCol w:w="3328"/>
        <w:gridCol w:w="3320"/>
      </w:tblGrid>
      <w:tr>
        <w:trPr/>
        <w:tc>
          <w:tcPr>
            <w:tcW w:w="9995" w:type="dxa"/>
            <w:gridSpan w:val="3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color w:val="76923C" w:themeColor="accent3" w:themeShade="bf"/>
                <w:sz w:val="32"/>
              </w:rPr>
            </w:pPr>
            <w:r>
              <w:rPr>
                <w:rFonts w:eastAsia="Calibri" w:cs="Calibri"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>
        <w:trPr>
          <w:trHeight w:val="425" w:hRule="exact"/>
        </w:trPr>
        <w:tc>
          <w:tcPr>
            <w:tcW w:w="3347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color="auto" w:fill="76923C" w:themeFill="accent3" w:themeFillShade="bf" w:val="clear"/>
            <w:tcMar>
              <w:left w:w="9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color w:val="FFFFFF" w:themeColor="background1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32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color="auto" w:fill="76923C" w:themeFill="accent3" w:themeFillShade="bf" w:val="clear"/>
            <w:tcMar>
              <w:left w:w="98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color w:val="FFFFFF" w:themeColor="background1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Calibri"/>
                <w:b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eastAsia="Calibri" w:cs="Calibri" w:ascii="Times New Roman" w:hAnsi="Times New Roman"/>
                <w:b/>
                <w:bCs/>
                <w:color w:val="FFFFFF" w:themeColor="background1"/>
                <w:sz w:val="32"/>
                <w:szCs w:val="32"/>
              </w:rPr>
            </w:r>
          </w:p>
        </w:tc>
        <w:tc>
          <w:tcPr>
            <w:tcW w:w="3320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color="auto" w:fill="76923C" w:themeFill="accent3" w:themeFillShade="bf" w:val="clear"/>
            <w:tcMar>
              <w:left w:w="98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color w:val="FFFFFF" w:themeColor="background1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Calibri"/>
                <w:b/>
                <w:b/>
                <w:bCs/>
                <w:sz w:val="32"/>
                <w:szCs w:val="32"/>
              </w:rPr>
            </w:pPr>
            <w:r>
              <w:rPr>
                <w:rFonts w:eastAsia="Calibri" w:cs="Calibri" w:ascii="Times New Roman" w:hAnsi="Times New Roman"/>
                <w:b/>
                <w:bCs/>
                <w:sz w:val="32"/>
                <w:szCs w:val="32"/>
              </w:rPr>
            </w:r>
          </w:p>
        </w:tc>
      </w:tr>
      <w:tr>
        <w:trPr>
          <w:trHeight w:val="2949" w:hRule="atLeast"/>
        </w:trPr>
        <w:tc>
          <w:tcPr>
            <w:tcW w:w="3347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>
            <w:pPr>
              <w:pStyle w:val="Normal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 xml:space="preserve">- единый сельскохозяйственный налог, 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налог на имущество физических лиц,</w:t>
            </w:r>
          </w:p>
          <w:p>
            <w:pPr>
              <w:pStyle w:val="Normal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земельный налог,</w:t>
            </w:r>
          </w:p>
          <w:p>
            <w:pPr>
              <w:pStyle w:val="Normal"/>
              <w:spacing w:before="0" w:after="200"/>
              <w:rPr>
                <w:rFonts w:ascii="Times New Roman" w:hAnsi="Times New Roman" w:eastAsia="Calibri" w:cs="Calibri"/>
                <w:b/>
                <w:b/>
                <w:bCs/>
                <w:sz w:val="32"/>
                <w:szCs w:val="32"/>
              </w:rPr>
            </w:pPr>
            <w:r>
              <w:rPr>
                <w:rFonts w:eastAsia="Calibri" w:cs="Calibri" w:ascii="Times New Roman" w:hAnsi="Times New Roman"/>
                <w:b/>
                <w:bCs/>
                <w:sz w:val="32"/>
                <w:szCs w:val="32"/>
              </w:rPr>
            </w:r>
          </w:p>
        </w:tc>
        <w:tc>
          <w:tcPr>
            <w:tcW w:w="332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>
            <w:pPr>
              <w:pStyle w:val="Normal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320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дотации;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субсидии;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субвенции;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иные межбюджетные трансферты;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Calibri"/>
                <w:b/>
                <w:b/>
                <w:bCs/>
                <w:sz w:val="32"/>
                <w:szCs w:val="32"/>
              </w:rPr>
            </w:pPr>
            <w:r>
              <w:rPr>
                <w:rFonts w:eastAsia="Calibri" w:cs="Calibri" w:ascii="Times New Roman" w:hAnsi="Times New Roman"/>
                <w:b/>
                <w:bCs/>
                <w:sz w:val="32"/>
                <w:szCs w:val="32"/>
              </w:rPr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  <w:lang w:eastAsia="ru-RU"/>
        </w:rPr>
      </w:pPr>
      <w:r>
        <w:rPr>
          <w:rFonts w:ascii="Times New Roman" w:hAnsi="Times New Roman"/>
          <w:b/>
          <w:sz w:val="32"/>
          <w:szCs w:val="32"/>
          <w:highlight w:val="yellow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  <w:lang w:eastAsia="ru-RU"/>
        </w:rPr>
      </w:pPr>
      <w:r>
        <w:rPr>
          <w:rFonts w:ascii="Times New Roman" w:hAnsi="Times New Roman"/>
          <w:b/>
          <w:sz w:val="32"/>
          <w:szCs w:val="32"/>
          <w:highlight w:val="yellow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  <w:lang w:eastAsia="ru-RU"/>
        </w:rPr>
      </w:pPr>
      <w:r>
        <w:rPr>
          <w:rFonts w:ascii="Times New Roman" w:hAnsi="Times New Roman"/>
          <w:b/>
          <w:sz w:val="32"/>
          <w:szCs w:val="32"/>
          <w:highlight w:val="yellow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4F6228" w:themeColor="accent3" w:themeShade="80"/>
          <w:sz w:val="32"/>
          <w:szCs w:val="32"/>
        </w:rPr>
      </w:pPr>
      <w:r>
        <w:rPr>
          <w:rFonts w:ascii="Times New Roman" w:hAnsi="Times New Roman"/>
          <w:b/>
          <w:bCs/>
          <w:color w:val="4F6228" w:themeColor="accent3" w:themeShade="80"/>
          <w:sz w:val="32"/>
          <w:szCs w:val="32"/>
        </w:rPr>
        <w:t>Межбюджетные трансферты - основной вид безвозмездных перечислений</w:t>
      </w:r>
    </w:p>
    <w:tbl>
      <w:tblPr>
        <w:tblStyle w:val="1-4"/>
        <w:tblpPr w:bottomFromText="0" w:horzAnchor="margin" w:leftFromText="180" w:rightFromText="180" w:tblpX="0" w:tblpY="1916" w:topFromText="0" w:vertAnchor="page"/>
        <w:tblW w:w="10173" w:type="dxa"/>
        <w:jc w:val="left"/>
        <w:tblInd w:w="108" w:type="dxa"/>
        <w:tblCellMar>
          <w:top w:w="0" w:type="dxa"/>
          <w:left w:w="10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943"/>
        <w:gridCol w:w="2835"/>
        <w:gridCol w:w="4395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single" w:sz="4" w:space="0" w:color="76923C"/>
              <w:left w:val="single" w:sz="4" w:space="0" w:color="76923C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76923C" w:themeFill="accent3" w:themeFillShade="bf" w:val="clear"/>
            <w:tcMar>
              <w:left w:w="103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Виды межбюджетных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трансфертов</w:t>
            </w:r>
          </w:p>
        </w:tc>
        <w:tc>
          <w:tcPr>
            <w:tcW w:w="2835" w:type="dxa"/>
            <w:tcBorders>
              <w:top w:val="single" w:sz="4" w:space="0" w:color="76923C"/>
              <w:left w:val="nil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76923C" w:themeFill="accent3" w:themeFillShade="bf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Определение</w:t>
            </w:r>
          </w:p>
        </w:tc>
        <w:tc>
          <w:tcPr>
            <w:tcW w:w="4395" w:type="dxa"/>
            <w:tcBorders>
              <w:top w:val="single" w:sz="4" w:space="0" w:color="76923C"/>
              <w:left w:val="nil"/>
              <w:bottom w:val="single" w:sz="4" w:space="0" w:color="76923C"/>
              <w:right w:val="single" w:sz="4" w:space="0" w:color="76923C"/>
              <w:insideH w:val="single" w:sz="4" w:space="0" w:color="76923C"/>
              <w:insideV w:val="single" w:sz="4" w:space="0" w:color="76923C"/>
            </w:tcBorders>
            <w:shd w:color="auto" w:fill="76923C" w:themeFill="accent3" w:themeFillShade="bf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Аналогия в семейном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бюджете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nil"/>
              <w:left w:val="single" w:sz="4" w:space="0" w:color="76923C"/>
              <w:bottom w:val="nil"/>
              <w:right w:val="nil"/>
              <w:insideH w:val="nil"/>
              <w:insideV w:val="nil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 w:eastAsia="Times New Roman"/>
                <w:b w:val="false"/>
                <w:b w:val="false"/>
                <w:bCs w:val="false"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/>
                <w:b w:val="false"/>
                <w:bCs w:val="false"/>
                <w:sz w:val="24"/>
                <w:szCs w:val="24"/>
                <w:lang w:val="en-US" w:eastAsia="en-US" w:bidi="en-US"/>
              </w:rPr>
              <w:t>Дотации (от лат. «Dotatio» –дар, пожертвование)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single" w:sz="4" w:space="0" w:color="76923C"/>
              <w:insideH w:val="nil"/>
              <w:insideV w:val="single" w:sz="4" w:space="0" w:color="76923C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Вы даете своему ребенку «карманные деньги»</w:t>
            </w:r>
          </w:p>
        </w:tc>
      </w:tr>
      <w:tr>
        <w:trPr>
          <w:trHeight w:val="1613" w:hRule="atLeast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nil"/>
              <w:left w:val="single" w:sz="4" w:space="0" w:color="76923C"/>
              <w:bottom w:val="nil"/>
              <w:right w:val="nil"/>
              <w:insideH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 w:eastAsia="Times New Roman"/>
                <w:b w:val="false"/>
                <w:b w:val="false"/>
                <w:bCs w:val="false"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/>
                <w:b w:val="false"/>
                <w:bCs w:val="false"/>
                <w:sz w:val="24"/>
                <w:szCs w:val="24"/>
                <w:lang w:val="en-US" w:eastAsia="en-US" w:bidi="en-US"/>
              </w:rPr>
              <w:t>Субвенции (от лат.Subveire»– приходить на помощь)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Предоставляются на финансирование«переданных» другим публично-правовым образованиям полномочий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single" w:sz="4" w:space="0" w:color="76923C"/>
              <w:insideH w:val="nil"/>
              <w:insideV w:val="single" w:sz="4" w:space="0" w:color="76923C"/>
            </w:tcBorders>
            <w:shd w:fill="auto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Вы даете своему ребенку деньги и посылаете его в магазин купить продукты(по списку)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nil"/>
              <w:left w:val="single" w:sz="4" w:space="0" w:color="76923C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 w:eastAsia="Times New Roman"/>
                <w:b w:val="false"/>
                <w:b w:val="false"/>
                <w:bCs w:val="false"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/>
                <w:b w:val="false"/>
                <w:bCs w:val="false"/>
                <w:sz w:val="24"/>
                <w:szCs w:val="24"/>
                <w:lang w:val="en-US" w:eastAsia="en-US" w:bidi="en-US"/>
              </w:rPr>
              <w:t>Субсидии (от лат.«Subsidium» - поддержка)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Предоставляются на условиях долевого софинансирования расходов других бюджетов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76923C"/>
              <w:right w:val="single" w:sz="4" w:space="0" w:color="76923C"/>
              <w:insideH w:val="single" w:sz="4" w:space="0" w:color="76923C"/>
              <w:insideV w:val="single" w:sz="4" w:space="0" w:color="76923C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Вы «добавляете» денег для того, чтобы ваш ребенок купил себе новый телефон(а остальные он накопит сам)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/>
        <w:drawing>
          <wp:inline distT="0" distB="0" distL="19050" distR="9525">
            <wp:extent cx="4295775" cy="2571750"/>
            <wp:effectExtent l="0" t="0" r="0" b="0"/>
            <wp:docPr id="9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19050" distR="0">
            <wp:extent cx="6248400" cy="4457700"/>
            <wp:effectExtent l="0" t="0" r="0" b="0"/>
            <wp:docPr id="10" name="Изображение1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Налоги, зачисляемые в бюджет муниципального образования                         в 2020 году </w:t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tbl>
      <w:tblPr>
        <w:tblW w:w="9889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190"/>
        <w:gridCol w:w="3190"/>
        <w:gridCol w:w="3509"/>
      </w:tblGrid>
      <w:tr>
        <w:trPr/>
        <w:tc>
          <w:tcPr>
            <w:tcW w:w="3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5050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9FF33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66CCFF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>
        <w:trPr>
          <w:trHeight w:val="2153" w:hRule="atLeast"/>
        </w:trPr>
        <w:tc>
          <w:tcPr>
            <w:tcW w:w="98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3 %                                    100 %                                      100 %</w:t>
            </w:r>
          </w:p>
          <w:p>
            <w:pPr>
              <w:pStyle w:val="Normal"/>
              <w:widowControl w:val="false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  <w:r>
              <mc:AlternateContent>
                <mc:Choice Requires="wps">
                  <w:drawing>
                    <wp:anchor behindDoc="0" distT="0" distB="0" distL="114300" distR="97155" simplePos="0" locked="0" layoutInCell="1" allowOverlap="1" relativeHeight="6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1270</wp:posOffset>
                      </wp:positionV>
                      <wp:extent cx="876300" cy="823595"/>
                      <wp:effectExtent l="0" t="0" r="17145" b="17145"/>
                      <wp:wrapNone/>
                      <wp:docPr id="11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823595"/>
                              </a:xfrm>
                              <a:prstGeom prst="rect"/>
                              <a:solidFill>
                                <a:srgbClr val="FF5050"/>
                              </a:solidFill>
                              <a:ln w="12700">
                                <a:solidFill>
                                  <a:srgbClr val="4F81BD"/>
                                </a:solidFill>
                              </a:ln>
                              <a:effectLst>
                                <a:outerShdw dist="24130" dir="2700000">
                                  <a:srgbClr val="243F60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5050" strokecolor="#4F81BD" strokeweight="1pt" style="position:absolute;rotation:0;width:69pt;height:64.85pt;mso-wrap-distance-left:9pt;mso-wrap-distance-right:9pt;mso-wrap-distance-top:0pt;mso-wrap-distance-bottom:0pt;margin-top:0.1pt;mso-position-vertical-relative:text;margin-left:42.45pt;mso-position-horizontal-relative:text">
                      <v:shadow on="t" color="#243F60" offset="1.35pt,1.35pt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0" distL="114300" distR="97155" simplePos="0" locked="0" layoutInCell="1" allowOverlap="1" relativeHeight="7">
                      <wp:simplePos x="0" y="0"/>
                      <wp:positionH relativeFrom="column">
                        <wp:posOffset>4692015</wp:posOffset>
                      </wp:positionH>
                      <wp:positionV relativeFrom="paragraph">
                        <wp:posOffset>2540</wp:posOffset>
                      </wp:positionV>
                      <wp:extent cx="809625" cy="824230"/>
                      <wp:effectExtent l="0" t="0" r="17145" b="17145"/>
                      <wp:wrapNone/>
                      <wp:docPr id="12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824230"/>
                              </a:xfrm>
                              <a:prstGeom prst="rect"/>
                              <a:solidFill>
                                <a:srgbClr val="66CCFF"/>
                              </a:solidFill>
                              <a:ln w="12700">
                                <a:solidFill>
                                  <a:srgbClr val="4F81BD"/>
                                </a:solidFill>
                              </a:ln>
                              <a:effectLst>
                                <a:outerShdw dist="24130" dir="2700000">
                                  <a:srgbClr val="243F60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66CCFF" strokecolor="#4F81BD" strokeweight="1pt" style="position:absolute;rotation:0;width:63.75pt;height:64.9pt;mso-wrap-distance-left:9pt;mso-wrap-distance-right:9pt;mso-wrap-distance-top:0pt;mso-wrap-distance-bottom:0pt;margin-top:0.2pt;mso-position-vertical-relative:text;margin-left:369.45pt;mso-position-horizontal-relative:text">
                      <v:shadow on="t" color="#243F60" offset="1.35pt,1.35pt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0" distL="114300" distR="97155" simplePos="0" locked="0" layoutInCell="1" allowOverlap="1" relativeHeight="8">
                      <wp:simplePos x="0" y="0"/>
                      <wp:positionH relativeFrom="column">
                        <wp:posOffset>2499995</wp:posOffset>
                      </wp:positionH>
                      <wp:positionV relativeFrom="paragraph">
                        <wp:posOffset>2540</wp:posOffset>
                      </wp:positionV>
                      <wp:extent cx="828675" cy="823595"/>
                      <wp:effectExtent l="0" t="0" r="17145" b="17145"/>
                      <wp:wrapNone/>
                      <wp:docPr id="13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823595"/>
                              </a:xfrm>
                              <a:prstGeom prst="rect"/>
                              <a:solidFill>
                                <a:srgbClr val="99FF33"/>
                              </a:solidFill>
                              <a:ln w="12700">
                                <a:solidFill>
                                  <a:srgbClr val="4F81BD"/>
                                </a:solidFill>
                              </a:ln>
                              <a:effectLst>
                                <a:outerShdw dist="24130" dir="2700000">
                                  <a:srgbClr val="243F60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99FF33" strokecolor="#4F81BD" strokeweight="1pt" style="position:absolute;rotation:0;width:65.25pt;height:64.85pt;mso-wrap-distance-left:9pt;mso-wrap-distance-right:9pt;mso-wrap-distance-top:0pt;mso-wrap-distance-bottom:0pt;margin-top:0.2pt;mso-position-vertical-relative:text;margin-left:196.85pt;mso-position-horizontal-relative:text">
                      <v:shadow on="t" color="#243F60" offset="1.35pt,1.35pt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rmal"/>
              <w:widowControl w:val="false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widowControl w:val="false"/>
              <w:spacing w:before="0" w:after="20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>
          <w:trHeight w:val="2673" w:hRule="atLeast"/>
        </w:trPr>
        <w:tc>
          <w:tcPr>
            <w:tcW w:w="98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99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Arial" w:hAnsi="Arial"/>
              </w:rPr>
            </w:pPr>
            <w:r>
              <w:rPr/>
              <w:drawing>
                <wp:inline distT="0" distB="0" distL="19050" distR="9525">
                  <wp:extent cx="2276475" cy="1628775"/>
                  <wp:effectExtent l="0" t="0" r="0" b="0"/>
                  <wp:docPr id="14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0"/>
          <w:szCs w:val="30"/>
        </w:rPr>
        <w:t xml:space="preserve">Структура доходов бюджета Николаевского муниципального образования </w:t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тыс. руб.</w:t>
      </w:r>
    </w:p>
    <w:tbl>
      <w:tblPr>
        <w:tblW w:w="9513" w:type="dxa"/>
        <w:jc w:val="left"/>
        <w:tblInd w:w="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5261"/>
        <w:gridCol w:w="2124"/>
        <w:gridCol w:w="2128"/>
      </w:tblGrid>
      <w:tr>
        <w:trPr>
          <w:trHeight w:val="322" w:hRule="atLeast"/>
        </w:trPr>
        <w:tc>
          <w:tcPr>
            <w:tcW w:w="526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212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 2020 года</w:t>
            </w:r>
          </w:p>
        </w:tc>
        <w:tc>
          <w:tcPr>
            <w:tcW w:w="21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Факт 2020 года</w:t>
            </w:r>
          </w:p>
        </w:tc>
      </w:tr>
      <w:tr>
        <w:trPr>
          <w:trHeight w:val="322" w:hRule="atLeast"/>
        </w:trPr>
        <w:tc>
          <w:tcPr>
            <w:tcW w:w="526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 всего: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1154,2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1258,0</w:t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доходы физических лиц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129,4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129,4</w:t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196,4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196,4</w:t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63,5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63,6</w:t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764,9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868,6</w:t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 всего: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3,0</w:t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от арендной платы за имущество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2,2</w:t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поступающие в порядке возмещения расходов, понесенных от эксплуатации имущества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0,8</w:t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всего: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544,7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544,7</w:t>
            </w:r>
          </w:p>
        </w:tc>
      </w:tr>
      <w:tr>
        <w:trPr>
          <w:trHeight w:val="322" w:hRule="atLeast"/>
        </w:trPr>
        <w:tc>
          <w:tcPr>
            <w:tcW w:w="5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322" w:hRule="atLeast"/>
        </w:trPr>
        <w:tc>
          <w:tcPr>
            <w:tcW w:w="526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212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28,5</w:t>
            </w:r>
          </w:p>
        </w:tc>
        <w:tc>
          <w:tcPr>
            <w:tcW w:w="21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28,5</w:t>
            </w:r>
          </w:p>
        </w:tc>
      </w:tr>
      <w:tr>
        <w:trPr>
          <w:trHeight w:val="322" w:hRule="atLeast"/>
        </w:trPr>
        <w:tc>
          <w:tcPr>
            <w:tcW w:w="526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322" w:hRule="atLeast"/>
        </w:trPr>
        <w:tc>
          <w:tcPr>
            <w:tcW w:w="526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322" w:hRule="atLeast"/>
        </w:trPr>
        <w:tc>
          <w:tcPr>
            <w:tcW w:w="5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Субсидии бюджетам бюджетной системы РФ</w:t>
            </w:r>
          </w:p>
        </w:tc>
        <w:tc>
          <w:tcPr>
            <w:tcW w:w="21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left="708" w:hanging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401,7</w:t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401,7</w:t>
            </w:r>
          </w:p>
        </w:tc>
      </w:tr>
      <w:tr>
        <w:trPr>
          <w:trHeight w:val="322" w:hRule="atLeast"/>
        </w:trPr>
        <w:tc>
          <w:tcPr>
            <w:tcW w:w="526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212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left="708" w:hanging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90,1</w:t>
            </w:r>
          </w:p>
        </w:tc>
        <w:tc>
          <w:tcPr>
            <w:tcW w:w="21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90,1</w:t>
            </w:r>
          </w:p>
        </w:tc>
      </w:tr>
      <w:tr>
        <w:trPr>
          <w:trHeight w:val="322" w:hRule="atLeast"/>
        </w:trPr>
        <w:tc>
          <w:tcPr>
            <w:tcW w:w="526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left="708" w:hanging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322" w:hRule="atLeast"/>
        </w:trPr>
        <w:tc>
          <w:tcPr>
            <w:tcW w:w="526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от негосударственных организаций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9,4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9,4</w:t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14,1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14,1</w:t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1701,9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1805,7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в 2020 году составили – 1805,7 тыс. руб.</w:t>
      </w:r>
    </w:p>
    <w:p>
      <w:pPr>
        <w:pStyle w:val="Normal"/>
        <w:spacing w:lineRule="auto" w:line="240"/>
        <w:jc w:val="right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6105525" cy="1562100"/>
            <wp:effectExtent l="0" t="0" r="0" b="0"/>
            <wp:docPr id="15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Доходы бюджета Николаевского муниципального образования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расчете на 1 жителя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 численность населения Николаевского муниципального образования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на 01.01.2020г. 563 человек)                  </w:t>
      </w:r>
    </w:p>
    <w:tbl>
      <w:tblPr>
        <w:tblStyle w:val="a6"/>
        <w:tblW w:w="9355" w:type="dxa"/>
        <w:jc w:val="left"/>
        <w:tblInd w:w="392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379"/>
        <w:gridCol w:w="2975"/>
      </w:tblGrid>
      <w:tr>
        <w:trPr/>
        <w:tc>
          <w:tcPr>
            <w:tcW w:w="6379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975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b/>
                <w:sz w:val="28"/>
                <w:szCs w:val="28"/>
              </w:rPr>
              <w:t>2019 год отчет (руб.)</w:t>
            </w:r>
          </w:p>
        </w:tc>
      </w:tr>
      <w:tr>
        <w:trPr/>
        <w:tc>
          <w:tcPr>
            <w:tcW w:w="6379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b/>
                <w:bCs/>
                <w:sz w:val="28"/>
                <w:szCs w:val="28"/>
              </w:rPr>
              <w:t>Доходы всего, в том числе :</w:t>
            </w:r>
          </w:p>
        </w:tc>
        <w:tc>
          <w:tcPr>
            <w:tcW w:w="297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3207,0</w:t>
            </w:r>
          </w:p>
        </w:tc>
      </w:tr>
      <w:tr>
        <w:trPr/>
        <w:tc>
          <w:tcPr>
            <w:tcW w:w="6379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97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2240,0</w:t>
            </w:r>
          </w:p>
        </w:tc>
      </w:tr>
      <w:tr>
        <w:trPr/>
        <w:tc>
          <w:tcPr>
            <w:tcW w:w="6379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97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967,0</w:t>
            </w:r>
          </w:p>
        </w:tc>
      </w:tr>
    </w:tbl>
    <w:p>
      <w:pPr>
        <w:pStyle w:val="Normal"/>
        <w:spacing w:lineRule="auto" w:lin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>
      <w:pPr>
        <w:pStyle w:val="Normal"/>
        <w:spacing w:lineRule="auto" w:line="2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Основными бюджетообразующими доходами бюджета муниципального образования являются земельный налог,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единый сельскохозяйственный  налог</w:t>
      </w:r>
      <w:r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налог на доходы физических лиц.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19050" distR="8255">
            <wp:extent cx="6297295" cy="2173605"/>
            <wp:effectExtent l="0" t="0" r="0" b="0"/>
            <wp:docPr id="16" name="Рисунок 26" descr="https://avatars.mds.yandex.net/get-zen_doc/2419806/pub_5f27f30509f04e63c6a4a417_5f281b6907b3613170de23b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6" descr="https://avatars.mds.yandex.net/get-zen_doc/2419806/pub_5f27f30509f04e63c6a4a417_5f281b6907b3613170de23b2/scale_12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19050" distR="6985">
            <wp:extent cx="6298565" cy="3105150"/>
            <wp:effectExtent l="0" t="0" r="0" b="0"/>
            <wp:docPr id="17" name="Рисунок 1" descr="http://bftcom.com/upload/iblock/93f/93fc87da6d5bcedd4fd49627d000b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" descr="http://bftcom.com/upload/iblock/93f/93fc87da6d5bcedd4fd49627d000b99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19050" distR="6350">
            <wp:extent cx="6203950" cy="4410075"/>
            <wp:effectExtent l="0" t="0" r="0" b="0"/>
            <wp:docPr id="18" name="Рисунок 2" descr="C:\Users\fo10i\Desktop\1455099558_slaj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" descr="C:\Users\fo10i\Desktop\1455099558_slajd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val="en-US"/>
        </w:rPr>
      </w:pPr>
      <w:r>
        <w:rPr/>
        <w:drawing>
          <wp:inline distT="0" distB="0" distL="19050" distR="0">
            <wp:extent cx="6275705" cy="4184015"/>
            <wp:effectExtent l="0" t="0" r="0" b="0"/>
            <wp:docPr id="19" name="Изображение2" descr="https://www.tula.ru/activity/economics/city-budget/201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2" descr="https://www.tula.ru/activity/economics/city-budget/2016/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63" t="6243" r="3733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705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 бюджета Николаевского муниципального образования по разделам за 2020 год.</w:t>
        <w:tab/>
        <w:tab/>
        <w:tab/>
        <w:tab/>
        <w:tab/>
        <w:tab/>
        <w:tab/>
      </w:r>
      <w:r>
        <w:rPr>
          <w:rFonts w:ascii="Times New Roman" w:hAnsi="Times New Roman"/>
          <w:sz w:val="28"/>
          <w:szCs w:val="28"/>
        </w:rPr>
        <w:tab/>
        <w:tab/>
        <w:tab/>
        <w:tab/>
        <w:tab/>
        <w:tab/>
        <w:t xml:space="preserve">                                                    %</w:t>
      </w:r>
    </w:p>
    <w:tbl>
      <w:tblPr>
        <w:tblW w:w="10079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1063"/>
        <w:gridCol w:w="5661"/>
        <w:gridCol w:w="1654"/>
        <w:gridCol w:w="1700"/>
      </w:tblGrid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 года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 года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68,7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68,7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4,6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26,6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26,6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5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0" distR="0">
            <wp:extent cx="5924550" cy="2590800"/>
            <wp:effectExtent l="0" t="0" r="0" b="0"/>
            <wp:docPr id="20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t>Расходы бюджета Николаевского муниципального образования по основным разделам на душу населения</w:t>
        <w:tab/>
        <w:tab/>
        <w:tab/>
        <w:tab/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руб.</w:t>
      </w:r>
    </w:p>
    <w:tbl>
      <w:tblPr>
        <w:tblW w:w="10137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1063"/>
        <w:gridCol w:w="5998"/>
        <w:gridCol w:w="1554"/>
        <w:gridCol w:w="1521"/>
      </w:tblGrid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9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5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 года</w:t>
            </w:r>
          </w:p>
        </w:tc>
        <w:tc>
          <w:tcPr>
            <w:tcW w:w="1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Факт 2020года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5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2436,05</w:t>
            </w:r>
          </w:p>
        </w:tc>
        <w:tc>
          <w:tcPr>
            <w:tcW w:w="1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2410,13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9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942,69</w:t>
            </w:r>
          </w:p>
        </w:tc>
        <w:tc>
          <w:tcPr>
            <w:tcW w:w="1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937,36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5,33</w:t>
            </w:r>
          </w:p>
        </w:tc>
        <w:tc>
          <w:tcPr>
            <w:tcW w:w="1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5,33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59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5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3545,62</w:t>
            </w:r>
          </w:p>
        </w:tc>
        <w:tc>
          <w:tcPr>
            <w:tcW w:w="1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3514,37</w:t>
            </w:r>
          </w:p>
        </w:tc>
      </w:tr>
    </w:tbl>
    <w:p>
      <w:pPr>
        <w:pStyle w:val="Normal"/>
        <w:spacing w:lineRule="auto" w:line="240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drawing>
          <wp:inline distT="0" distB="0" distL="0" distR="0">
            <wp:extent cx="5810250" cy="3009900"/>
            <wp:effectExtent l="0" t="0" r="0" b="0"/>
            <wp:docPr id="21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sz w:val="28"/>
          <w:szCs w:val="28"/>
        </w:rPr>
      </w:pPr>
      <w:r>
        <w:rPr>
          <w:sz w:val="28"/>
          <w:szCs w:val="28"/>
        </w:rPr>
        <w:tab/>
        <w:tab/>
        <w:tab/>
        <w:tab/>
        <w:tab/>
      </w:r>
    </w:p>
    <w:p>
      <w:pPr>
        <w:pStyle w:val="Normal"/>
        <w:spacing w:lineRule="auto" w:line="240"/>
        <w:jc w:val="center"/>
        <w:rPr>
          <w:sz w:val="28"/>
          <w:szCs w:val="28"/>
        </w:rPr>
      </w:pPr>
      <w:r>
        <w:rPr/>
        <w:drawing>
          <wp:inline distT="0" distB="0" distL="19050" distR="6985">
            <wp:extent cx="6355715" cy="1087120"/>
            <wp:effectExtent l="0" t="0" r="0" b="0"/>
            <wp:docPr id="22" name="Изображение3" descr="https://sun9-28.userapi.com/LDiNDh_UuYr-jwt1NMYVbp3-d183xeCojfe6Ag/xcmpwa0vI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3" descr="https://sun9-28.userapi.com/LDiNDh_UuYr-jwt1NMYVbp3-d183xeCojfe6Ag/xcmpwa0vIwk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1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>
      <w:pPr>
        <w:pStyle w:val="Normal"/>
        <w:spacing w:lineRule="auto" w:line="240"/>
        <w:ind w:left="2410" w:firstLine="709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Общий объем и структура расходов</w:t>
      </w:r>
    </w:p>
    <w:p>
      <w:pPr>
        <w:pStyle w:val="Normal"/>
        <w:spacing w:lineRule="auto" w:line="240"/>
        <w:ind w:left="4248" w:hanging="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                           тыс. руб.</w:t>
      </w:r>
    </w:p>
    <w:tbl>
      <w:tblPr>
        <w:tblW w:w="10173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5353"/>
        <w:gridCol w:w="1700"/>
        <w:gridCol w:w="1560"/>
        <w:gridCol w:w="1559"/>
      </w:tblGrid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План 2020 года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Факт 2020 года</w:t>
            </w:r>
          </w:p>
        </w:tc>
      </w:tr>
      <w:tr>
        <w:trPr>
          <w:trHeight w:val="1046" w:hRule="atLeast"/>
        </w:trPr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/>
              <w:drawing>
                <wp:inline distT="0" distB="6350" distL="0" distR="8890">
                  <wp:extent cx="600710" cy="508000"/>
                  <wp:effectExtent l="0" t="0" r="0" b="0"/>
                  <wp:docPr id="23" name="Рисунок 3" descr="https://cf.ppt-online.org/files/slide/l/LV2SFUnKdMtik8x6jq4BwAuNCWIzGZ3DJ5mblO/slid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3" descr="https://cf.ppt-online.org/files/slide/l/LV2SFUnKdMtik8x6jq4BwAuNCWIzGZ3DJ5mblO/slide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6914" t="18255" r="82652" b="69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1371,5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1356,9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/>
              <w:drawing>
                <wp:inline distT="0" distB="2540" distL="0" distR="8890">
                  <wp:extent cx="524510" cy="473710"/>
                  <wp:effectExtent l="0" t="0" r="0" b="0"/>
                  <wp:docPr id="24" name="Рисунок 4" descr="https://cf.ppt-online.org/files/slide/l/LV2SFUnKdMtik8x6jq4BwAuNCWIzGZ3DJ5mblO/slid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4" descr="https://cf.ppt-online.org/files/slide/l/LV2SFUnKdMtik8x6jq4BwAuNCWIzGZ3DJ5mblO/slide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7122" t="31613" r="84042" b="57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47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90,9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90,9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/>
              <w:object>
                <v:shape id="ole_rId18" style="width:44.75pt;height:42pt" o:ole="">
                  <v:imagedata r:id="rId19" o:title=""/>
                </v:shape>
                <o:OLEObject Type="Embed" ProgID="PBrush" ShapeID="ole_rId18" DrawAspect="Content" ObjectID="_690774309" r:id="rId18"/>
              </w:objec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530,7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527,7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/>
              <w:object>
                <v:shape id="ole_rId20" style="width:45.25pt;height:36.55pt" o:ole="">
                  <v:imagedata r:id="rId21" o:title=""/>
                </v:shape>
                <o:OLEObject Type="Embed" ProgID="PBrush" ShapeID="ole_rId20" DrawAspect="Content" ObjectID="_1816709837" r:id="rId20"/>
              </w:objec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3,1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3,1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1996,2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1978,6</w:t>
            </w:r>
          </w:p>
        </w:tc>
      </w:tr>
    </w:tbl>
    <w:p>
      <w:pPr>
        <w:pStyle w:val="Normal"/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ConsPlusNonformat"/>
        <w:widowControl/>
        <w:jc w:val="center"/>
        <w:rPr>
          <w:rFonts w:ascii="Times New Roman" w:hAnsi="Times New Roman" w:cs="Times New Roman"/>
          <w:b/>
          <w:b/>
          <w:color w:val="000000" w:themeColor="text1"/>
          <w:sz w:val="32"/>
          <w:szCs w:val="32"/>
        </w:rPr>
      </w:pPr>
      <w:r>
        <w:rPr>
          <w:rFonts w:cs="Times New Roman" w:ascii="Times New Roman" w:hAnsi="Times New Roman"/>
          <w:b/>
          <w:color w:val="000000" w:themeColor="text1"/>
          <w:sz w:val="32"/>
          <w:szCs w:val="32"/>
        </w:rPr>
      </w:r>
    </w:p>
    <w:p>
      <w:pPr>
        <w:pStyle w:val="ConsPlusNonformat"/>
        <w:widowControl/>
        <w:jc w:val="center"/>
        <w:rPr>
          <w:rFonts w:ascii="Times New Roman" w:hAnsi="Times New Roman" w:cs="Times New Roman"/>
          <w:b/>
          <w:b/>
          <w:color w:val="000000" w:themeColor="text1"/>
          <w:sz w:val="32"/>
          <w:szCs w:val="32"/>
        </w:rPr>
      </w:pPr>
      <w:r>
        <w:rPr>
          <w:rFonts w:cs="Times New Roman" w:ascii="Times New Roman" w:hAnsi="Times New Roman"/>
          <w:b/>
          <w:color w:val="000000" w:themeColor="text1"/>
          <w:sz w:val="32"/>
          <w:szCs w:val="32"/>
        </w:rPr>
      </w:r>
    </w:p>
    <w:p>
      <w:pPr>
        <w:pStyle w:val="ConsPlusNonformat"/>
        <w:widowControl/>
        <w:jc w:val="center"/>
        <w:rPr>
          <w:rFonts w:ascii="Times New Roman" w:hAnsi="Times New Roman" w:cs="Times New Roman"/>
          <w:b/>
          <w:b/>
          <w:color w:val="000000" w:themeColor="text1"/>
          <w:sz w:val="32"/>
          <w:szCs w:val="32"/>
        </w:rPr>
      </w:pPr>
      <w:r>
        <w:rPr>
          <w:rFonts w:cs="Times New Roman" w:ascii="Times New Roman" w:hAnsi="Times New Roman"/>
          <w:b/>
          <w:color w:val="000000" w:themeColor="text1"/>
          <w:sz w:val="32"/>
          <w:szCs w:val="32"/>
        </w:rPr>
      </w:r>
    </w:p>
    <w:p>
      <w:pPr>
        <w:pStyle w:val="ConsPlusNonformat"/>
        <w:widowControl/>
        <w:jc w:val="center"/>
        <w:rPr>
          <w:rFonts w:ascii="Times New Roman" w:hAnsi="Times New Roman" w:cs="Times New Roman"/>
          <w:b/>
          <w:b/>
          <w:color w:val="000000" w:themeColor="text1"/>
          <w:sz w:val="32"/>
          <w:szCs w:val="32"/>
        </w:rPr>
      </w:pPr>
      <w:r>
        <w:rPr>
          <w:rFonts w:cs="Times New Roman" w:ascii="Times New Roman" w:hAnsi="Times New Roman"/>
          <w:b/>
          <w:color w:val="000000" w:themeColor="text1"/>
          <w:sz w:val="32"/>
          <w:szCs w:val="32"/>
        </w:rPr>
        <w:t>Исполнение муниципальных программ бюджета Николаевского</w:t>
      </w:r>
    </w:p>
    <w:p>
      <w:pPr>
        <w:pStyle w:val="ConsPlusNonformat"/>
        <w:widowControl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cs="Times New Roman" w:ascii="Times New Roman" w:hAnsi="Times New Roman"/>
          <w:b/>
          <w:color w:val="000000" w:themeColor="text1"/>
          <w:sz w:val="32"/>
          <w:szCs w:val="32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32"/>
          <w:szCs w:val="32"/>
        </w:rPr>
        <w:t>муниципального района  за 2020 год</w:t>
      </w:r>
    </w:p>
    <w:p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>(тыс. рублей)</w:t>
      </w:r>
    </w:p>
    <w:p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</w:r>
    </w:p>
    <w:p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</w:r>
    </w:p>
    <w:tbl>
      <w:tblPr>
        <w:tblW w:w="9889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5387"/>
        <w:gridCol w:w="1134"/>
        <w:gridCol w:w="1668"/>
        <w:gridCol w:w="1699"/>
      </w:tblGrid>
      <w:tr>
        <w:trPr>
          <w:trHeight w:val="1032" w:hRule="atLeast"/>
        </w:trPr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муниципальных программ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 2020 г.</w:t>
            </w:r>
          </w:p>
        </w:tc>
        <w:tc>
          <w:tcPr>
            <w:tcW w:w="1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 2020 г.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 исполнения за 2020 год</w:t>
            </w:r>
          </w:p>
        </w:tc>
      </w:tr>
      <w:tr>
        <w:trPr>
          <w:trHeight w:val="369" w:hRule="atLeast"/>
        </w:trPr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Муниципальная программа «Развитие и осуществление культурного досуга и обеспечение жителей Николаевского МО Ивантеевского муниципального района Саратовской области услугами организации культуры на 2018-2020 годы»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>
        <w:trPr>
          <w:trHeight w:val="369" w:hRule="atLeast"/>
        </w:trPr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3,0</w:t>
            </w:r>
          </w:p>
        </w:tc>
        <w:tc>
          <w:tcPr>
            <w:tcW w:w="1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3,0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>
      <w:pPr>
        <w:pStyle w:val="Normal"/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Муниципальный долг в Николаевском муниципальном образовании по состоянию на 01.01.2021г. – отсутствует.</w:t>
      </w:r>
    </w:p>
    <w:p>
      <w:pPr>
        <w:pStyle w:val="Normal"/>
        <w:tabs>
          <w:tab w:val="left" w:pos="1560" w:leader="none"/>
        </w:tabs>
        <w:rPr/>
      </w:pPr>
      <w:r>
        <w:rPr/>
      </w:r>
    </w:p>
    <w:p>
      <w:pPr>
        <w:pStyle w:val="Normal"/>
        <w:spacing w:lineRule="auto" w:line="24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firstLine="708"/>
        <w:jc w:val="right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635">
            <wp:extent cx="4533265" cy="1409700"/>
            <wp:effectExtent l="0" t="0" r="0" b="0"/>
            <wp:docPr id="25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firstLine="708"/>
        <w:rPr>
          <w:rFonts w:ascii="Times New Roman" w:hAnsi="Times New Roman"/>
          <w:sz w:val="28"/>
          <w:szCs w:val="28"/>
        </w:rPr>
      </w:pPr>
      <w:bookmarkStart w:id="0" w:name="_GoBack"/>
      <w:bookmarkStart w:id="1" w:name="_GoBack"/>
      <w:bookmarkEnd w:id="1"/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firstLine="708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Контактная информация:</w:t>
      </w:r>
    </w:p>
    <w:p>
      <w:pPr>
        <w:pStyle w:val="Normal"/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Адрес:  413320, Саратовская область, Ивантеевский район с.  Николаевка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>График работы с 8-00 до 17-12, перерыв с 12-00 до 13-00.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 xml:space="preserve">Телефоны  (8 84579 5-44-21) 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Тел.5- 44-21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/>
          <w:color w:val="000000"/>
          <w:sz w:val="28"/>
          <w:szCs w:val="28"/>
        </w:rPr>
        <w:t xml:space="preserve">Глава Николаевского муниципального образования   Демидов А.А.                                             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Электронная почта: nikolaevkaadm2@yandex.ru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418" w:right="567" w:header="0" w:top="170" w:footer="0" w:bottom="17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ourier New"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isplayBackgroundShape/>
  <w:defaultTabStop w:val="708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b3134"/>
    <w:pPr>
      <w:widowControl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eastAsia="en-US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151bb8"/>
    <w:rPr>
      <w:rFonts w:ascii="Tahoma" w:hAnsi="Tahoma" w:cs="Tahoma"/>
      <w:sz w:val="16"/>
      <w:szCs w:val="16"/>
      <w:lang w:eastAsia="en-US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nhideWhenUsed/>
    <w:qFormat/>
    <w:rsid w:val="00f51f39"/>
    <w:pPr>
      <w:spacing w:lineRule="auto" w:line="240" w:beforeAutospacing="1" w:afterAutospacing="1"/>
    </w:pPr>
    <w:rPr>
      <w:rFonts w:ascii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151bb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1298"/>
    <w:pPr>
      <w:spacing w:before="0" w:after="200"/>
      <w:ind w:left="720" w:hanging="0"/>
      <w:contextualSpacing/>
    </w:pPr>
    <w:rPr>
      <w:rFonts w:eastAsia="Calibri"/>
    </w:rPr>
  </w:style>
  <w:style w:type="paragraph" w:styleId="ConsPlusNonformat" w:customStyle="1">
    <w:name w:val="ConsPlusNonformat"/>
    <w:qFormat/>
    <w:rsid w:val="00ed42d0"/>
    <w:pPr>
      <w:widowControl w:val="false"/>
      <w:bidi w:val="0"/>
      <w:jc w:val="left"/>
    </w:pPr>
    <w:rPr>
      <w:rFonts w:ascii="Courier New" w:hAnsi="Courier New" w:cs="Courier New" w:eastAsia="Times New Roman"/>
      <w:color w:val="auto"/>
      <w:kern w:val="0"/>
      <w:sz w:val="22"/>
      <w:szCs w:val="20"/>
      <w:lang w:val="ru-RU" w:eastAsia="ru-RU" w:bidi="ar-SA"/>
    </w:rPr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99"/>
    <w:rsid w:val="007347c0"/>
    <w:rPr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-4">
    <w:name w:val="Medium Shading 1 Accent 4"/>
    <w:basedOn w:val="a1"/>
    <w:uiPriority w:val="63"/>
    <w:rsid w:val="00a042fa"/>
    <w:rPr>
      <w:rFonts w:asciiTheme="minorHAnsi" w:hAnsiTheme="minorHAnsi" w:eastAsiaTheme="minorEastAsia" w:cstheme="minorBidi"/>
      <w:lang w:val="en-US" w:eastAsia="en-US" w:bidi="en-US"/>
      <w:sz w:val="22"/>
      <w:szCs w:val="22"/>
    </w:r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sz="8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sz="6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chart" Target="charts/chart1.xml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chart" Target="charts/chart2.xml"/><Relationship Id="rId14" Type="http://schemas.openxmlformats.org/officeDocument/2006/relationships/chart" Target="charts/chart3.xml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oleObject" Target="embeddings/oleObject1.bin"/><Relationship Id="rId19" Type="http://schemas.openxmlformats.org/officeDocument/2006/relationships/image" Target="media/image14.emf"/><Relationship Id="rId20" Type="http://schemas.openxmlformats.org/officeDocument/2006/relationships/oleObject" Target="embeddings/oleObject2.bin"/><Relationship Id="rId21" Type="http://schemas.openxmlformats.org/officeDocument/2006/relationships/image" Target="media/image15.emf"/><Relationship Id="rId22" Type="http://schemas.openxmlformats.org/officeDocument/2006/relationships/image" Target="media/image16.jpeg"/><Relationship Id="rId23" Type="http://schemas.openxmlformats.org/officeDocument/2006/relationships/fontTable" Target="fontTable.xml"/><Relationship Id="rId24" Type="http://schemas.openxmlformats.org/officeDocument/2006/relationships/settings" Target="settings.xml"/><Relationship Id="rId25" Type="http://schemas.openxmlformats.org/officeDocument/2006/relationships/theme" Target="theme/theme1.xml"/><Relationship Id="rId26" Type="http://schemas.openxmlformats.org/officeDocument/2006/relationships/customXml" Target="../customXml/item1.xml"/>
</Relationships>
</file>

<file path=word/charts/_rels/chart1.xml.rels><?xml version="1.0" encoding="UTF-8"?>
<Relationships xmlns="http://schemas.openxmlformats.org/package/2006/relationships"><Relationship Id="rId1" Type="http://schemas.openxmlformats.org/officeDocument/2006/relationships/package" Target="../embeddings/Microsoft_Excel_Worksheet1.xlsx"/>
</Relationships>
</file>

<file path=word/charts/_rels/chart2.xml.rels><?xml version="1.0" encoding="UTF-8"?>
<Relationships xmlns="http://schemas.openxmlformats.org/package/2006/relationships"><Relationship Id="rId1" Type="http://schemas.openxmlformats.org/officeDocument/2006/relationships/package" Target="../embeddings/Microsoft_Excel_Worksheet2.xlsx"/>
</Relationships>
</file>

<file path=word/charts/_rels/chart3.xml.rels><?xml version="1.0" encoding="UTF-8"?>
<Relationships xmlns="http://schemas.openxmlformats.org/package/2006/relationships"><Relationship Id="rId1" Type="http://schemas.openxmlformats.org/officeDocument/2006/relationships/package" Target="../embeddings/Microsoft_Excel_Worksheet3.xlsx"/>
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view3D>
      <c:rotX val="15"/>
      <c:rotY val="0"/>
      <c:rAngAx val="0"/>
      <c:perspective val="30"/>
    </c:view3D>
    <c:floor>
      <c:spPr>
        <a:solidFill>
          <a:srgbClr val="d9d9d9"/>
        </a:solidFill>
        <a:ln>
          <a:noFill/>
        </a:ln>
      </c:spPr>
    </c:floor>
    <c:backWall>
      <c:spPr>
        <a:solidFill>
          <a:srgbClr val="d9d9d9"/>
        </a:solidFill>
        <a:ln>
          <a:noFill/>
        </a:ln>
      </c:spPr>
    </c:backWall>
    <c:plotArea>
      <c:pie3D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Доходы 2020г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explosion val="25"/>
          <c:dPt>
            <c:idx val="0"/>
            <c:spPr>
              <a:solidFill>
                <a:srgbClr val="4f81bd"/>
              </a:solidFill>
              <a:ln>
                <a:noFill/>
              </a:ln>
            </c:spPr>
          </c:dPt>
          <c:dPt>
            <c:idx val="1"/>
            <c:spPr>
              <a:solidFill>
                <a:srgbClr val="c0504d"/>
              </a:solidFill>
              <a:ln>
                <a:noFill/>
              </a:ln>
            </c:spPr>
          </c:dPt>
          <c:dPt>
            <c:idx val="2"/>
            <c:spPr>
              <a:solidFill>
                <a:srgbClr val="9bbb59"/>
              </a:solidFill>
              <a:ln>
                <a:noFill/>
              </a:ln>
            </c:spPr>
          </c:dPt>
          <c:dPt>
            <c:idx val="3"/>
            <c:spPr>
              <a:solidFill>
                <a:srgbClr val="8064a2"/>
              </a:solidFill>
              <a:ln>
                <a:noFill/>
              </a:ln>
            </c:spPr>
          </c:dPt>
          <c:dPt>
            <c:idx val="4"/>
            <c:spPr>
              <a:solidFill>
                <a:srgbClr val="4bacc6"/>
              </a:solidFill>
              <a:ln>
                <a:noFill/>
              </a:ln>
            </c:spPr>
          </c:dPt>
          <c:dPt>
            <c:idx val="5"/>
            <c:spPr>
              <a:solidFill>
                <a:srgbClr val="f79646"/>
              </a:solidFill>
              <a:ln>
                <a:noFill/>
              </a:ln>
            </c:spPr>
          </c:dPt>
          <c:dLbls>
            <c:dLbl>
              <c:idx val="0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1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2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3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4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5"/>
              <c:dLblPos val="bestFit"/>
              <c:showLegendKey val="0"/>
              <c:showVal val="0"/>
              <c:showCatName val="0"/>
              <c:showSerName val="0"/>
              <c:showPercent val="1"/>
            </c:dLbl>
            <c:dLblPos val="bestFit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6"/>
                <c:pt idx="0">
                  <c:v>0.301</c:v>
                </c:pt>
                <c:pt idx="1">
                  <c:v>0.072</c:v>
                </c:pt>
                <c:pt idx="2">
                  <c:v>0.109</c:v>
                </c:pt>
                <c:pt idx="3">
                  <c:v>0.035</c:v>
                </c:pt>
                <c:pt idx="4">
                  <c:v>0.481</c:v>
                </c:pt>
                <c:pt idx="5">
                  <c:v>0.002</c:v>
                </c:pt>
              </c:numCache>
            </c:numRef>
          </c:val>
        </c:ser>
      </c:pie3DChart>
      <c:spPr>
        <a:solidFill>
          <a:srgbClr val="d9d9d9"/>
        </a:solidFill>
        <a:ln>
          <a:noFill/>
        </a:ln>
      </c:spPr>
    </c:plotArea>
    <c:legend>
      <c:layout>
        <c:manualLayout>
          <c:xMode val="edge"/>
          <c:yMode val="edge"/>
          <c:x val="0.63525"/>
          <c:y val="0.0433333333333333"/>
        </c:manualLayout>
      </c:layout>
      <c:spPr>
        <a:noFill/>
        <a:ln>
          <a:noFill/>
        </a:ln>
      </c:spPr>
    </c:legend>
    <c:plotVisOnly val="1"/>
    <c:dispBlanksAs val="zero"/>
  </c:chart>
  <c:spPr>
    <a:solidFill>
      <a:srgbClr val="ebf1de"/>
    </a:solidFill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view3D>
      <c:rotX val="15"/>
      <c:rotY val="20"/>
      <c:rAngAx val="1"/>
      <c:perspective val="30"/>
    </c:view3D>
    <c:floor>
      <c:spPr>
        <a:solidFill>
          <a:srgbClr val="c0c0c0"/>
        </a:solidFill>
        <a:ln w="3240">
          <a:solidFill>
            <a:srgbClr val="000000"/>
          </a:solidFill>
          <a:round/>
        </a:ln>
      </c:spPr>
    </c:floor>
    <c:backWall>
      <c:spPr>
        <a:solidFill>
          <a:srgbClr val="c0c0c0"/>
        </a:solidFill>
        <a:ln w="12600">
          <a:solidFill>
            <a:srgbClr val="808080"/>
          </a:solidFill>
          <a:round/>
        </a:ln>
      </c:spPr>
    </c:backWall>
    <c:plotArea>
      <c:bar3D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2"/>
                <c:pt idx="0">
                  <c:v>68.7</c:v>
                </c:pt>
                <c:pt idx="1">
                  <c:v>68.7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2"/>
                <c:pt idx="0">
                  <c:v>4.5</c:v>
                </c:pt>
                <c:pt idx="1">
                  <c:v>4.6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ccff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2"/>
                <c:pt idx="0">
                  <c:v>1</c:v>
                </c:pt>
                <c:pt idx="1">
                  <c:v/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660066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2"/>
                <c:pt idx="0">
                  <c:v>26.6</c:v>
                </c:pt>
                <c:pt idx="1">
                  <c:v>26.6</c:v>
                </c:pt>
              </c:numCache>
            </c:numRef>
          </c:val>
        </c:ser>
        <c:gapWidth val="150"/>
        <c:shape val="box"/>
        <c:axId val="45182783"/>
        <c:axId val="23975243"/>
        <c:axId val="0"/>
      </c:bar3DChart>
      <c:catAx>
        <c:axId val="45182783"/>
        <c:scaling>
          <c:orientation val="minMax"/>
        </c:scaling>
        <c:delete val="0"/>
        <c:axPos val="b"/>
        <c:numFmt formatCode="MM/DD/YYYY" sourceLinked="1"/>
        <c:majorTickMark val="out"/>
        <c:minorTickMark val="none"/>
        <c:tickLblPos val="low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799" spc="-1" strike="noStrike">
                <a:solidFill>
                  <a:srgbClr val="000000"/>
                </a:solidFill>
                <a:latin typeface="Arial Cyr"/>
                <a:ea typeface="Arial Cyr"/>
              </a:defRPr>
            </a:pPr>
          </a:p>
        </c:txPr>
        <c:crossAx val="23975243"/>
        <c:crosses val="autoZero"/>
        <c:auto val="1"/>
        <c:lblAlgn val="ctr"/>
        <c:lblOffset val="100"/>
      </c:catAx>
      <c:valAx>
        <c:axId val="23975243"/>
        <c:scaling>
          <c:orientation val="minMax"/>
        </c:scaling>
        <c:delete val="0"/>
        <c:axPos val="l"/>
        <c:majorGridlines>
          <c:spPr>
            <a:ln w="3240">
              <a:solidFill>
                <a:srgbClr val="000000"/>
              </a:solidFill>
              <a:round/>
            </a:ln>
          </c:spPr>
        </c:majorGridlines>
        <c:numFmt formatCode="0.0" sourceLinked="0"/>
        <c:majorTickMark val="out"/>
        <c:minorTickMark val="none"/>
        <c:tickLblPos val="nextTo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799" spc="-1" strike="noStrike">
                <a:solidFill>
                  <a:srgbClr val="000000"/>
                </a:solidFill>
                <a:latin typeface="Arial Cyr"/>
                <a:ea typeface="Arial Cyr"/>
              </a:defRPr>
            </a:pPr>
          </a:p>
        </c:txPr>
        <c:crossAx val="45182783"/>
        <c:crosses val="autoZero"/>
      </c:valAx>
      <c:spPr>
        <a:solidFill>
          <a:srgbClr val="c0c0c0"/>
        </a:solidFill>
        <a:ln w="12600">
          <a:solidFill>
            <a:srgbClr val="808080"/>
          </a:solidFill>
          <a:round/>
        </a:ln>
      </c:spPr>
    </c:plotArea>
    <c:legend>
      <c:legendPos val="r"/>
      <c:overlay val="0"/>
      <c:spPr>
        <a:noFill/>
        <a:ln w="3240">
          <a:solidFill>
            <a:srgbClr val="000000"/>
          </a:solidFill>
          <a:round/>
        </a:ln>
      </c:spPr>
    </c:legend>
    <c:plotVisOnly val="1"/>
    <c:dispBlanksAs val="gap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view3D>
      <c:rotX val="15"/>
      <c:rotY val="20"/>
      <c:rAngAx val="1"/>
      <c:perspective val="30"/>
    </c:view3D>
    <c:floor>
      <c:spPr>
        <a:solidFill>
          <a:srgbClr val="c0c0c0"/>
        </a:solidFill>
        <a:ln w="3240">
          <a:solidFill>
            <a:srgbClr val="000000"/>
          </a:solidFill>
          <a:round/>
        </a:ln>
      </c:spPr>
    </c:floor>
    <c:backWall>
      <c:spPr>
        <a:solidFill>
          <a:srgbClr val="00ffff"/>
        </a:solidFill>
        <a:ln w="12600">
          <a:solidFill>
            <a:srgbClr val="808080"/>
          </a:solidFill>
          <a:round/>
        </a:ln>
      </c:spPr>
    </c:backWall>
    <c:plotArea>
      <c:bar3D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ff8080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2"/>
                <c:pt idx="0">
                  <c:v>2436.05</c:v>
                </c:pt>
                <c:pt idx="1">
                  <c:v>2410.13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2"/>
                <c:pt idx="0">
                  <c:v>942.69</c:v>
                </c:pt>
                <c:pt idx="1">
                  <c:v>937.36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2"/>
                <c:pt idx="0">
                  <c:v>5.33</c:v>
                </c:pt>
                <c:pt idx="1">
                  <c:v>5.33</c:v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cccc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2"/>
                <c:pt idx="0">
                  <c:v>3545.62</c:v>
                </c:pt>
                <c:pt idx="1">
                  <c:v>3514.37</c:v>
                </c:pt>
              </c:numCache>
            </c:numRef>
          </c:val>
        </c:ser>
        <c:gapWidth val="150"/>
        <c:shape val="box"/>
        <c:axId val="79315640"/>
        <c:axId val="51620963"/>
        <c:axId val="0"/>
      </c:bar3DChart>
      <c:catAx>
        <c:axId val="79315640"/>
        <c:scaling>
          <c:orientation val="minMax"/>
        </c:scaling>
        <c:delete val="0"/>
        <c:axPos val="b"/>
        <c:numFmt formatCode="MM/DD/YYYY" sourceLinked="1"/>
        <c:majorTickMark val="out"/>
        <c:minorTickMark val="none"/>
        <c:tickLblPos val="low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997" spc="-1" strike="noStrike">
                <a:solidFill>
                  <a:srgbClr val="000000"/>
                </a:solidFill>
                <a:latin typeface="Arial Cyr"/>
                <a:ea typeface="Arial Cyr"/>
              </a:defRPr>
            </a:pPr>
          </a:p>
        </c:txPr>
        <c:crossAx val="51620963"/>
        <c:crosses val="autoZero"/>
        <c:auto val="1"/>
        <c:lblAlgn val="ctr"/>
        <c:lblOffset val="100"/>
      </c:catAx>
      <c:valAx>
        <c:axId val="51620963"/>
        <c:scaling>
          <c:orientation val="minMax"/>
        </c:scaling>
        <c:delete val="0"/>
        <c:axPos val="l"/>
        <c:majorGridlines>
          <c:spPr>
            <a:ln w="3240">
              <a:solidFill>
                <a:srgbClr val="000000"/>
              </a:solidFill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997" spc="-1" strike="noStrike">
                <a:solidFill>
                  <a:srgbClr val="000000"/>
                </a:solidFill>
                <a:latin typeface="Arial Cyr"/>
                <a:ea typeface="Arial Cyr"/>
              </a:defRPr>
            </a:pPr>
          </a:p>
        </c:txPr>
        <c:crossAx val="79315640"/>
        <c:crosses val="autoZero"/>
      </c:valAx>
      <c:spPr>
        <a:solidFill>
          <a:srgbClr val="00ffff"/>
        </a:solidFill>
        <a:ln w="12600">
          <a:solidFill>
            <a:srgbClr val="808080"/>
          </a:solidFill>
          <a:round/>
        </a:ln>
      </c:spPr>
    </c:plotArea>
    <c:legend>
      <c:layout>
        <c:manualLayout>
          <c:xMode val="edge"/>
          <c:yMode val="edge"/>
          <c:x val="0.694125"/>
          <c:y val="0.166"/>
        </c:manualLayout>
      </c:layout>
      <c:spPr>
        <a:noFill/>
        <a:ln w="3240">
          <a:solidFill>
            <a:srgbClr val="000000"/>
          </a:solidFill>
          <a:round/>
        </a:ln>
      </c:spPr>
    </c:legend>
    <c:plotVisOnly val="1"/>
    <c:dispBlanksAs val="gap"/>
  </c:chart>
  <c:spPr>
    <a:noFill/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2CBE23-D055-442E-B6F3-EBF454B97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Application>LibreOffice/5.4.3.2$Windows_X86_64 LibreOffice_project/92a7159f7e4af62137622921e809f8546db437e5</Application>
  <Pages>11</Pages>
  <Words>786</Words>
  <Characters>5444</Characters>
  <CharactersWithSpaces>6696</CharactersWithSpaces>
  <Paragraphs>267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2015-04-16T11:24:00Z</dcterms:created>
  <dc:creator>пользователь</dc:creator>
  <dc:description/>
  <dc:language>ru-RU</dc:language>
  <cp:lastModifiedBy/>
  <cp:lastPrinted>2016-04-11T08:16:00Z</cp:lastPrinted>
  <dcterms:modified xsi:type="dcterms:W3CDTF">2021-05-20T19:03:13Z</dcterms:modified>
  <cp:revision>116</cp:revision>
  <dc:subject/>
  <dc:title>Уважаемые жители Ивантеевского муниципального района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