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7C" w:rsidRDefault="00246E26">
      <w:pPr>
        <w:ind w:firstLine="567"/>
        <w:jc w:val="center"/>
      </w:pPr>
      <w:r>
        <w:rPr>
          <w:b/>
          <w:sz w:val="24"/>
          <w:szCs w:val="24"/>
        </w:rPr>
        <w:t>ИЗВЕЩЕНИЕ №  5</w:t>
      </w:r>
    </w:p>
    <w:p w:rsidR="00A2727C" w:rsidRDefault="00246E26">
      <w:pPr>
        <w:ind w:firstLine="567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 w:rsidR="00A2727C" w:rsidRDefault="00246E26">
      <w:pPr>
        <w:pStyle w:val="22"/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2727C" w:rsidRDefault="00A2727C">
      <w:pPr>
        <w:ind w:firstLine="567"/>
        <w:jc w:val="center"/>
        <w:rPr>
          <w:sz w:val="24"/>
          <w:szCs w:val="24"/>
        </w:rPr>
      </w:pPr>
    </w:p>
    <w:p w:rsidR="00A2727C" w:rsidRDefault="00246E26">
      <w:pPr>
        <w:pStyle w:val="ad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(организатор аукциона)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>Орган государственной власти, принявший решение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области: </w:t>
      </w:r>
    </w:p>
    <w:p w:rsidR="00A2727C" w:rsidRDefault="00246E26">
      <w:pPr>
        <w:pStyle w:val="a8"/>
        <w:ind w:firstLine="567"/>
        <w:jc w:val="both"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от 29.03.2019 № 179; </w:t>
      </w:r>
    </w:p>
    <w:p w:rsidR="00A2727C" w:rsidRDefault="00246E26">
      <w:pPr>
        <w:pStyle w:val="a8"/>
        <w:ind w:firstLine="567"/>
        <w:jc w:val="both"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30 мая </w:t>
      </w:r>
      <w:r>
        <w:rPr>
          <w:b/>
          <w:sz w:val="24"/>
          <w:szCs w:val="24"/>
        </w:rPr>
        <w:t>2019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 w:rsidR="00A2727C" w:rsidRDefault="00246E26">
      <w:pPr>
        <w:pStyle w:val="a8"/>
        <w:ind w:firstLine="567"/>
        <w:jc w:val="both"/>
      </w:pPr>
      <w:proofErr w:type="gramStart"/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>с 30</w:t>
      </w:r>
      <w:r>
        <w:rPr>
          <w:b/>
          <w:bCs/>
          <w:sz w:val="24"/>
          <w:szCs w:val="24"/>
        </w:rPr>
        <w:t xml:space="preserve">.04.2019г, </w:t>
      </w:r>
      <w:r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 в рабочие дни с 8.00 до 12.00 и с 13.00 до 16.00 часов (время местное)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5-16-55).</w:t>
      </w:r>
    </w:p>
    <w:p w:rsidR="00A2727C" w:rsidRDefault="00246E26">
      <w:pPr>
        <w:pStyle w:val="a8"/>
        <w:ind w:firstLine="567"/>
        <w:jc w:val="both"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24 мая 2019 года, 16.00 часов (время местное)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A2727C" w:rsidRDefault="00246E26">
      <w:pPr>
        <w:pStyle w:val="a8"/>
        <w:ind w:firstLine="567"/>
        <w:jc w:val="both"/>
      </w:pPr>
      <w:r>
        <w:rPr>
          <w:b/>
          <w:sz w:val="24"/>
          <w:szCs w:val="24"/>
          <w:highlight w:val="white"/>
        </w:rPr>
        <w:t>Дата, время, место определения участников аукциона –  27 мая</w:t>
      </w:r>
      <w:r>
        <w:rPr>
          <w:b/>
          <w:sz w:val="24"/>
          <w:szCs w:val="24"/>
        </w:rPr>
        <w:t xml:space="preserve"> 2019 г. в 11.00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 w:rsidR="00A2727C" w:rsidRDefault="00246E26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A2727C" w:rsidRDefault="00246E26">
      <w:pPr>
        <w:ind w:firstLine="567"/>
        <w:jc w:val="both"/>
      </w:pPr>
      <w:r>
        <w:rPr>
          <w:b/>
          <w:sz w:val="24"/>
          <w:szCs w:val="24"/>
        </w:rPr>
        <w:t>Регистрация участников проводится 30 мая</w:t>
      </w:r>
      <w:r>
        <w:rPr>
          <w:b/>
          <w:bCs/>
          <w:sz w:val="24"/>
          <w:szCs w:val="24"/>
        </w:rPr>
        <w:t xml:space="preserve"> 2019 года в 09.30 часов</w:t>
      </w:r>
      <w:r>
        <w:rPr>
          <w:sz w:val="24"/>
          <w:szCs w:val="24"/>
        </w:rPr>
        <w:t xml:space="preserve">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ресурсами).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A2727C" w:rsidRDefault="00246E26">
      <w:pPr>
        <w:pStyle w:val="a8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 w:rsidR="00A2727C" w:rsidRDefault="00246E26">
      <w:pPr>
        <w:pStyle w:val="ac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 w:rsidR="00A2727C" w:rsidRDefault="00246E26">
      <w:pPr>
        <w:pStyle w:val="ac"/>
        <w:ind w:firstLine="0"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 сроком на 10 лет:</w:t>
      </w:r>
    </w:p>
    <w:tbl>
      <w:tblPr>
        <w:tblW w:w="9707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739"/>
        <w:gridCol w:w="1689"/>
        <w:gridCol w:w="1071"/>
        <w:gridCol w:w="1247"/>
        <w:gridCol w:w="1090"/>
        <w:gridCol w:w="1284"/>
      </w:tblGrid>
      <w:tr w:rsidR="00A2727C" w:rsidTr="00996F6C">
        <w:trPr>
          <w:cantSplit/>
          <w:trHeight w:val="67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 лота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общая (кв. м)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2727C">
            <w:pPr>
              <w:jc w:val="center"/>
              <w:rPr>
                <w:sz w:val="24"/>
                <w:szCs w:val="24"/>
              </w:rPr>
            </w:pP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2727C">
            <w:pPr>
              <w:jc w:val="center"/>
              <w:rPr>
                <w:sz w:val="24"/>
                <w:szCs w:val="24"/>
              </w:rPr>
            </w:pP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</w:t>
            </w: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2727C">
            <w:pPr>
              <w:jc w:val="center"/>
              <w:rPr>
                <w:sz w:val="24"/>
                <w:szCs w:val="24"/>
              </w:rPr>
            </w:pP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 w:rsidR="00A2727C" w:rsidTr="00996F6C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ind w:firstLine="540"/>
              <w:jc w:val="both"/>
            </w:pPr>
            <w:r>
              <w:rPr>
                <w:rFonts w:eastAsia="Times New Roman CYR"/>
                <w:color w:val="000000"/>
              </w:rPr>
              <w:t xml:space="preserve">Саратовская область, </w:t>
            </w:r>
            <w:proofErr w:type="spellStart"/>
            <w:r>
              <w:rPr>
                <w:rFonts w:eastAsia="Times New Roman CYR"/>
                <w:color w:val="000000"/>
              </w:rPr>
              <w:t>Ивантеевский</w:t>
            </w:r>
            <w:proofErr w:type="spellEnd"/>
            <w:r>
              <w:rPr>
                <w:rFonts w:eastAsia="Times New Roman CYR"/>
                <w:color w:val="000000"/>
              </w:rPr>
              <w:t xml:space="preserve"> район, </w:t>
            </w:r>
            <w:proofErr w:type="spellStart"/>
            <w:r>
              <w:rPr>
                <w:rFonts w:eastAsia="Times New Roman CYR"/>
                <w:color w:val="000000"/>
              </w:rPr>
              <w:t>с</w:t>
            </w:r>
            <w:proofErr w:type="gramStart"/>
            <w:r>
              <w:rPr>
                <w:rFonts w:eastAsia="Times New Roman CYR"/>
                <w:color w:val="000000"/>
              </w:rPr>
              <w:t>.И</w:t>
            </w:r>
            <w:proofErr w:type="gramEnd"/>
            <w:r>
              <w:rPr>
                <w:rFonts w:eastAsia="Times New Roman CYR"/>
                <w:color w:val="000000"/>
              </w:rPr>
              <w:t>вантеевка</w:t>
            </w:r>
            <w:proofErr w:type="spellEnd"/>
            <w:r>
              <w:rPr>
                <w:rFonts w:eastAsia="Times New Roman CYR"/>
                <w:color w:val="000000"/>
              </w:rPr>
              <w:t xml:space="preserve">, </w:t>
            </w:r>
            <w:proofErr w:type="spellStart"/>
            <w:r>
              <w:rPr>
                <w:rFonts w:eastAsia="Times New Roman CYR"/>
                <w:color w:val="000000"/>
              </w:rPr>
              <w:t>ул.Пионерская</w:t>
            </w:r>
            <w:proofErr w:type="spellEnd"/>
            <w:r>
              <w:rPr>
                <w:rFonts w:eastAsia="Times New Roman CYR"/>
                <w:color w:val="000000"/>
              </w:rPr>
              <w:t>, 50м на юго-восток от многоквартирного дома №51</w:t>
            </w:r>
            <w:r w:rsidR="009251E7">
              <w:rPr>
                <w:rFonts w:eastAsia="Times New Roman CYR"/>
                <w:color w:val="000000"/>
              </w:rPr>
              <w:t>, с видом разрешенного использования: магазины</w:t>
            </w:r>
            <w:r w:rsidR="001575F8">
              <w:rPr>
                <w:rFonts w:eastAsia="Times New Roman CYR"/>
                <w:color w:val="000000"/>
              </w:rPr>
              <w:t xml:space="preserve"> (4.4)</w:t>
            </w:r>
            <w:bookmarkStart w:id="0" w:name="_GoBack"/>
            <w:bookmarkEnd w:id="0"/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</w:pPr>
            <w:r>
              <w:rPr>
                <w:bCs/>
              </w:rPr>
              <w:t>64:14:220114:40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</w:pPr>
            <w:bookmarkStart w:id="1" w:name="__DdeLink__2220_98102807"/>
            <w:r>
              <w:t>7002,00 (Семь тысяч два</w:t>
            </w:r>
            <w:proofErr w:type="gramStart"/>
            <w:r>
              <w:t xml:space="preserve"> )</w:t>
            </w:r>
            <w:proofErr w:type="gramEnd"/>
            <w:r>
              <w:t xml:space="preserve"> рубля 00 копеек</w:t>
            </w:r>
            <w:bookmarkEnd w:id="1"/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</w:pPr>
            <w:r>
              <w:t>210,00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</w:pPr>
            <w:r>
              <w:t>7002,00 (Семь тысяч два</w:t>
            </w:r>
            <w:proofErr w:type="gramStart"/>
            <w:r>
              <w:t xml:space="preserve"> )</w:t>
            </w:r>
            <w:proofErr w:type="gramEnd"/>
            <w:r>
              <w:t xml:space="preserve"> рубля 00 копеек</w:t>
            </w:r>
          </w:p>
        </w:tc>
      </w:tr>
    </w:tbl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 для Лотов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, 2,3 не установлены.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 Техническая возможность электроснабжения данного участка имеется.</w:t>
      </w:r>
    </w:p>
    <w:p w:rsidR="00A2727C" w:rsidRDefault="00246E26">
      <w:pPr>
        <w:suppressAutoHyphens/>
        <w:ind w:firstLine="709"/>
        <w:jc w:val="both"/>
      </w:pPr>
      <w:r>
        <w:rPr>
          <w:sz w:val="24"/>
          <w:szCs w:val="24"/>
        </w:rPr>
        <w:t xml:space="preserve">Электроснабжение возможно от источника питания ВЛ-0,4кВ </w:t>
      </w:r>
      <w:r w:rsidR="005331B2">
        <w:rPr>
          <w:sz w:val="24"/>
          <w:szCs w:val="24"/>
        </w:rPr>
        <w:t>от</w:t>
      </w:r>
      <w:r>
        <w:rPr>
          <w:sz w:val="24"/>
          <w:szCs w:val="24"/>
        </w:rPr>
        <w:t xml:space="preserve"> КТП № 6</w:t>
      </w:r>
      <w:r w:rsidR="005331B2">
        <w:rPr>
          <w:sz w:val="24"/>
          <w:szCs w:val="24"/>
        </w:rPr>
        <w:t>86</w:t>
      </w:r>
      <w:r>
        <w:rPr>
          <w:sz w:val="24"/>
          <w:szCs w:val="24"/>
        </w:rPr>
        <w:t xml:space="preserve"> ВЛ-1005 ПС 35/10кВ </w:t>
      </w:r>
      <w:proofErr w:type="spellStart"/>
      <w:r>
        <w:rPr>
          <w:sz w:val="24"/>
          <w:szCs w:val="24"/>
        </w:rPr>
        <w:t>Ивантеевская</w:t>
      </w:r>
      <w:proofErr w:type="spellEnd"/>
      <w:r>
        <w:rPr>
          <w:sz w:val="24"/>
          <w:szCs w:val="24"/>
        </w:rPr>
        <w:t xml:space="preserve">. Сроки подключения к электрическим сетям (в рамках договора технологического присоединения) – 4 месяца. Сроки действия технических условий 4 года. </w:t>
      </w:r>
      <w:proofErr w:type="gramStart"/>
      <w:r>
        <w:rPr>
          <w:sz w:val="24"/>
          <w:szCs w:val="24"/>
        </w:rPr>
        <w:t xml:space="preserve">Стоимость за технологическое присоединение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>
        <w:rPr>
          <w:sz w:val="24"/>
          <w:szCs w:val="24"/>
        </w:rP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A2727C" w:rsidRDefault="00246E2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 w:rsidR="00A2727C" w:rsidRDefault="00246E26">
      <w:pPr>
        <w:suppressAutoHyphens/>
        <w:ind w:firstLine="709"/>
        <w:jc w:val="both"/>
      </w:pPr>
      <w:r>
        <w:rPr>
          <w:sz w:val="24"/>
          <w:szCs w:val="24"/>
        </w:rPr>
        <w:t>Техническая возможность подключения (технологического присоединения) к сети водоснабжения имеется.</w:t>
      </w:r>
    </w:p>
    <w:p w:rsidR="00A2727C" w:rsidRDefault="00246E26">
      <w:pPr>
        <w:tabs>
          <w:tab w:val="left" w:pos="900"/>
        </w:tabs>
        <w:ind w:left="34" w:firstLine="682"/>
        <w:jc w:val="both"/>
      </w:pPr>
      <w:bookmarkStart w:id="2" w:name="__DdeLink__53361_2653030480"/>
      <w:r>
        <w:rPr>
          <w:sz w:val="24"/>
          <w:szCs w:val="24"/>
        </w:rPr>
        <w:t xml:space="preserve">Водоснабжение объекта по одному вводу водопровода расчетного диаметра с подключением к техническому водопроводу </w:t>
      </w:r>
      <w:r w:rsidR="005331B2">
        <w:rPr>
          <w:sz w:val="24"/>
          <w:szCs w:val="24"/>
        </w:rPr>
        <w:t>чугун</w:t>
      </w:r>
      <w:r>
        <w:rPr>
          <w:sz w:val="24"/>
          <w:szCs w:val="24"/>
        </w:rPr>
        <w:t xml:space="preserve"> диаметром-100 по  ул. </w:t>
      </w:r>
      <w:proofErr w:type="spellStart"/>
      <w:r w:rsidR="005331B2">
        <w:rPr>
          <w:sz w:val="24"/>
          <w:szCs w:val="24"/>
        </w:rPr>
        <w:t>Гунина</w:t>
      </w:r>
      <w:proofErr w:type="spellEnd"/>
      <w:r>
        <w:rPr>
          <w:sz w:val="24"/>
          <w:szCs w:val="24"/>
        </w:rPr>
        <w:t>.</w:t>
      </w:r>
    </w:p>
    <w:p w:rsidR="00A2727C" w:rsidRDefault="00246E26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rPr>
          <w:sz w:val="24"/>
          <w:szCs w:val="24"/>
        </w:rPr>
        <w:t xml:space="preserve">Свободный напор в точке подключения принять равным 10 м </w:t>
      </w:r>
      <w:proofErr w:type="spellStart"/>
      <w:r>
        <w:rPr>
          <w:sz w:val="24"/>
          <w:szCs w:val="24"/>
        </w:rPr>
        <w:t>вод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</w:p>
    <w:p w:rsidR="00A2727C" w:rsidRDefault="00246E26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rPr>
          <w:sz w:val="24"/>
          <w:szCs w:val="24"/>
        </w:rPr>
        <w:t>Присоединенная мощность абонента составляет 34,56 м3/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A2727C" w:rsidRDefault="00246E26">
      <w:pPr>
        <w:ind w:left="540" w:hanging="540"/>
        <w:jc w:val="both"/>
      </w:pPr>
      <w:r>
        <w:rPr>
          <w:i/>
          <w:sz w:val="24"/>
          <w:szCs w:val="24"/>
        </w:rPr>
        <w:t>Особые условия</w:t>
      </w:r>
    </w:p>
    <w:p w:rsidR="00A2727C" w:rsidRDefault="00246E26">
      <w:pPr>
        <w:ind w:left="136" w:firstLine="545"/>
        <w:jc w:val="both"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НиП</w:t>
      </w:r>
      <w:proofErr w:type="spellEnd"/>
      <w:r>
        <w:rPr>
          <w:sz w:val="24"/>
          <w:szCs w:val="24"/>
        </w:rPr>
        <w:t xml:space="preserve"> 2.07.01-89г.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lastRenderedPageBreak/>
        <w:t>6. Предусмотреть установку в водомерном узле прибор учета воды с антимагнитной защитой.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 и одновременно, представить документацию в соответствии с требованиями СНиП 3.01.04-87г.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>8. Присоединение построенного водопровода к системе водоснабжения производится силами филиала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», после получения Заказчиком разрешения о готовности объектов к вводу в эксплуатацию. 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 w:rsidR="00A2727C" w:rsidRDefault="00246E26">
      <w:pPr>
        <w:numPr>
          <w:ilvl w:val="0"/>
          <w:numId w:val="3"/>
        </w:numPr>
        <w:ind w:left="136" w:firstLine="545"/>
        <w:jc w:val="both"/>
      </w:pPr>
      <w:proofErr w:type="spellStart"/>
      <w:r>
        <w:rPr>
          <w:sz w:val="24"/>
          <w:szCs w:val="24"/>
        </w:rPr>
        <w:t>Ответсвенность</w:t>
      </w:r>
      <w:proofErr w:type="spellEnd"/>
      <w:r>
        <w:rPr>
          <w:sz w:val="24"/>
          <w:szCs w:val="24"/>
        </w:rPr>
        <w:t xml:space="preserve"> за техническое состояние и обслуживание водопроводных сетей, сооружений и устройств на них, между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</w:t>
      </w:r>
      <w:proofErr w:type="spellStart"/>
      <w:r>
        <w:rPr>
          <w:sz w:val="24"/>
          <w:szCs w:val="24"/>
        </w:rPr>
        <w:t>эксплутационной</w:t>
      </w:r>
      <w:proofErr w:type="spellEnd"/>
      <w:r>
        <w:rPr>
          <w:sz w:val="24"/>
          <w:szCs w:val="24"/>
        </w:rPr>
        <w:t xml:space="preserve"> ответственности.</w:t>
      </w:r>
    </w:p>
    <w:p w:rsidR="00A2727C" w:rsidRDefault="00246E26">
      <w:pPr>
        <w:suppressAutoHyphens/>
        <w:ind w:left="170" w:firstLine="443"/>
        <w:jc w:val="both"/>
      </w:pPr>
      <w:r>
        <w:rPr>
          <w:sz w:val="24"/>
          <w:szCs w:val="24"/>
        </w:rPr>
        <w:t xml:space="preserve"> 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Саратовской области Пугачевском районе, по адресу: 413726, Саратовская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ул.Оренбургская</w:t>
      </w:r>
      <w:proofErr w:type="spellEnd"/>
      <w:r>
        <w:rPr>
          <w:sz w:val="24"/>
          <w:szCs w:val="24"/>
        </w:rPr>
        <w:t>, 213, тел/факс 4-43-30.</w:t>
      </w:r>
      <w:bookmarkEnd w:id="2"/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 w:rsidR="00A2727C" w:rsidRDefault="00246E26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A2727C" w:rsidRDefault="00246E26">
      <w:pPr>
        <w:pStyle w:val="ac"/>
        <w:ind w:firstLine="567"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727C" w:rsidRDefault="00246E26">
      <w:pPr>
        <w:pStyle w:val="ac"/>
        <w:ind w:firstLine="567"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</w:t>
      </w:r>
      <w:r w:rsidR="005331B2">
        <w:rPr>
          <w:b/>
          <w:bCs/>
          <w:sz w:val="24"/>
          <w:szCs w:val="24"/>
        </w:rPr>
        <w:t>422023004227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>: Отделение Саратов</w:t>
      </w:r>
      <w:r w:rsidR="005331B2">
        <w:rPr>
          <w:sz w:val="24"/>
          <w:szCs w:val="24"/>
        </w:rPr>
        <w:t xml:space="preserve"> </w:t>
      </w:r>
      <w:proofErr w:type="spellStart"/>
      <w:r w:rsidR="005331B2">
        <w:rPr>
          <w:sz w:val="24"/>
          <w:szCs w:val="24"/>
        </w:rPr>
        <w:t>г</w:t>
      </w:r>
      <w:proofErr w:type="gramStart"/>
      <w:r w:rsidR="005331B2">
        <w:rPr>
          <w:sz w:val="24"/>
          <w:szCs w:val="24"/>
        </w:rPr>
        <w:t>.С</w:t>
      </w:r>
      <w:proofErr w:type="gramEnd"/>
      <w:r w:rsidR="005331B2">
        <w:rPr>
          <w:sz w:val="24"/>
          <w:szCs w:val="24"/>
        </w:rPr>
        <w:t>аратов</w:t>
      </w:r>
      <w:proofErr w:type="spellEnd"/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 xml:space="preserve">получатель: </w:t>
      </w:r>
      <w:r w:rsidR="005331B2">
        <w:rPr>
          <w:sz w:val="24"/>
          <w:szCs w:val="24"/>
        </w:rPr>
        <w:t xml:space="preserve">Управление Федерального казначейства по Саратовской области (Администрация </w:t>
      </w:r>
      <w:proofErr w:type="spellStart"/>
      <w:r w:rsidR="005331B2">
        <w:rPr>
          <w:sz w:val="24"/>
          <w:szCs w:val="24"/>
        </w:rPr>
        <w:t>Ивантеевского</w:t>
      </w:r>
      <w:proofErr w:type="spellEnd"/>
      <w:r w:rsidR="005331B2">
        <w:rPr>
          <w:sz w:val="24"/>
          <w:szCs w:val="24"/>
        </w:rPr>
        <w:t xml:space="preserve"> муниципального района Саратовской области </w:t>
      </w:r>
      <w:r>
        <w:rPr>
          <w:sz w:val="24"/>
          <w:szCs w:val="24"/>
        </w:rPr>
        <w:t xml:space="preserve">л\с </w:t>
      </w:r>
      <w:r w:rsidR="005331B2">
        <w:rPr>
          <w:sz w:val="24"/>
          <w:szCs w:val="24"/>
        </w:rPr>
        <w:t>05603039270</w:t>
      </w:r>
      <w:r>
        <w:rPr>
          <w:sz w:val="24"/>
          <w:szCs w:val="24"/>
        </w:rPr>
        <w:t xml:space="preserve">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>6414001</w:t>
      </w:r>
      <w:r w:rsidR="005331B2">
        <w:rPr>
          <w:sz w:val="24"/>
          <w:szCs w:val="24"/>
        </w:rPr>
        <w:t>592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</w:t>
      </w:r>
      <w:proofErr w:type="spellStart"/>
      <w:r>
        <w:rPr>
          <w:sz w:val="24"/>
          <w:szCs w:val="24"/>
        </w:rPr>
        <w:t>платежа</w:t>
      </w:r>
      <w:proofErr w:type="gramStart"/>
      <w:r w:rsidR="005331B2">
        <w:rPr>
          <w:sz w:val="24"/>
          <w:szCs w:val="24"/>
        </w:rPr>
        <w:t>»С</w:t>
      </w:r>
      <w:proofErr w:type="gramEnd"/>
      <w:r w:rsidR="005331B2">
        <w:rPr>
          <w:sz w:val="24"/>
          <w:szCs w:val="24"/>
        </w:rPr>
        <w:t>редства</w:t>
      </w:r>
      <w:proofErr w:type="spellEnd"/>
      <w:r w:rsidR="005331B2">
        <w:rPr>
          <w:sz w:val="24"/>
          <w:szCs w:val="24"/>
        </w:rPr>
        <w:t xml:space="preserve">, поступающие во временное </w:t>
      </w:r>
      <w:proofErr w:type="spellStart"/>
      <w:r w:rsidR="005331B2">
        <w:rPr>
          <w:sz w:val="24"/>
          <w:szCs w:val="24"/>
        </w:rPr>
        <w:t>расопряжение</w:t>
      </w:r>
      <w:proofErr w:type="spellEnd"/>
      <w:r w:rsidR="005331B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2727C" w:rsidRDefault="00246E26">
      <w:pPr>
        <w:pStyle w:val="ac"/>
        <w:ind w:firstLine="567"/>
      </w:pPr>
      <w:r>
        <w:rPr>
          <w:b/>
          <w:sz w:val="24"/>
          <w:szCs w:val="24"/>
        </w:rPr>
        <w:t xml:space="preserve"> Задаток должен поступить на счет Продавца не позднее  </w:t>
      </w:r>
      <w:r w:rsidR="001E0363">
        <w:rPr>
          <w:b/>
          <w:sz w:val="24"/>
          <w:szCs w:val="24"/>
        </w:rPr>
        <w:t>24 мая</w:t>
      </w:r>
      <w:r>
        <w:rPr>
          <w:b/>
          <w:sz w:val="24"/>
          <w:szCs w:val="24"/>
        </w:rPr>
        <w:t xml:space="preserve"> 2019 г.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A2727C" w:rsidRDefault="00246E2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>
        <w:r>
          <w:rPr>
            <w:rStyle w:val="ListLabel20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>
          <w:rPr>
            <w:rStyle w:val="ListLabel20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>
        <w:r>
          <w:rPr>
            <w:rStyle w:val="ListLabel20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27C" w:rsidRDefault="00246E2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A2727C" w:rsidRDefault="00246E26">
      <w:pPr>
        <w:ind w:firstLine="567"/>
        <w:jc w:val="both"/>
      </w:pPr>
      <w:proofErr w:type="gramStart"/>
      <w:r>
        <w:rPr>
          <w:sz w:val="24"/>
          <w:szCs w:val="24"/>
        </w:rPr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  <w:proofErr w:type="gramEnd"/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3" w:name="__DdeLink__867_2611294593"/>
      <w:r>
        <w:rPr>
          <w:sz w:val="24"/>
          <w:szCs w:val="24"/>
        </w:rP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rPr>
          <w:sz w:val="24"/>
          <w:szCs w:val="24"/>
        </w:rPr>
        <w:t xml:space="preserve">Заявки на участие в осмотре принимаются Организатором  аукциона: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rPr>
          <w:sz w:val="24"/>
          <w:szCs w:val="24"/>
        </w:rPr>
        <w:t xml:space="preserve"> Осмотр проводится без взимания платы.</w:t>
      </w:r>
      <w:bookmarkEnd w:id="3"/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A2727C" w:rsidRDefault="00246E26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 w:rsidR="00A2727C" w:rsidRDefault="00246E26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</w:t>
      </w:r>
      <w:r>
        <w:rPr>
          <w:bCs/>
          <w:sz w:val="24"/>
          <w:szCs w:val="24"/>
        </w:rPr>
        <w:lastRenderedPageBreak/>
        <w:t xml:space="preserve">(http://www.torgi.gov.ru), </w:t>
      </w:r>
      <w:r>
        <w:rPr>
          <w:sz w:val="24"/>
          <w:szCs w:val="24"/>
        </w:rPr>
        <w:t xml:space="preserve">на официальном сайте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по адресу: </w:t>
      </w:r>
      <w:hyperlink r:id="rId9">
        <w:r>
          <w:rPr>
            <w:rStyle w:val="-"/>
            <w:sz w:val="24"/>
            <w:szCs w:val="24"/>
          </w:rPr>
          <w:t>http://</w:t>
        </w:r>
      </w:hyperlink>
      <w:hyperlink r:id="rId10">
        <w:r>
          <w:rPr>
            <w:rStyle w:val="-"/>
            <w:sz w:val="24"/>
            <w:szCs w:val="24"/>
            <w:lang w:val="en-US"/>
          </w:rPr>
          <w:t>new</w:t>
        </w:r>
      </w:hyperlink>
      <w:hyperlink r:id="rId11">
        <w:r>
          <w:rPr>
            <w:rStyle w:val="-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бюллетене</w:t>
      </w:r>
      <w:proofErr w:type="gramEnd"/>
      <w:r>
        <w:rPr>
          <w:sz w:val="24"/>
          <w:szCs w:val="24"/>
        </w:rPr>
        <w:t xml:space="preserve"> «Вестник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района».</w:t>
      </w: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246E26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>Председатель аукционной комиссии</w:t>
      </w:r>
    </w:p>
    <w:p w:rsidR="00A2727C" w:rsidRDefault="00246E26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администрации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A2727C" w:rsidRDefault="00246E26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муниципального района Саратовской области                               В.А. </w:t>
      </w:r>
      <w:proofErr w:type="spellStart"/>
      <w:r>
        <w:rPr>
          <w:b/>
          <w:sz w:val="26"/>
          <w:szCs w:val="26"/>
        </w:rPr>
        <w:t>Болмосов</w:t>
      </w:r>
      <w:proofErr w:type="spellEnd"/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246E26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A2727C" w:rsidRDefault="00A2727C">
      <w:pPr>
        <w:jc w:val="center"/>
        <w:rPr>
          <w:b/>
        </w:rPr>
      </w:pPr>
    </w:p>
    <w:p w:rsidR="00A2727C" w:rsidRDefault="00A2727C">
      <w:pPr>
        <w:jc w:val="center"/>
        <w:rPr>
          <w:b/>
        </w:rPr>
      </w:pPr>
    </w:p>
    <w:p w:rsidR="00A2727C" w:rsidRDefault="00246E26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A2727C" w:rsidRDefault="00246E26">
      <w:pPr>
        <w:jc w:val="center"/>
        <w:rPr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 w:rsidR="00A2727C" w:rsidRDefault="00A2727C">
      <w:pPr>
        <w:ind w:left="5580"/>
        <w:rPr>
          <w:b/>
          <w:sz w:val="10"/>
          <w:szCs w:val="10"/>
        </w:rPr>
      </w:pPr>
    </w:p>
    <w:p w:rsidR="00A2727C" w:rsidRDefault="00246E26"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4" w:name="OLE_LINK6"/>
      <w:bookmarkStart w:id="5" w:name="OLE_LINK5"/>
      <w:r>
        <w:t>_____________________________________________________________</w:t>
      </w:r>
    </w:p>
    <w:p w:rsidR="00A2727C" w:rsidRDefault="00246E2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4"/>
      <w:bookmarkEnd w:id="5"/>
    </w:p>
    <w:p w:rsidR="00A2727C" w:rsidRDefault="00246E26"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A2727C" w:rsidRDefault="00246E26">
      <w:pPr>
        <w:jc w:val="center"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A2727C" w:rsidRDefault="00246E26">
      <w:pPr>
        <w:jc w:val="center"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A2727C" w:rsidRDefault="00246E26">
      <w:pPr>
        <w:jc w:val="both"/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25"/>
      </w:tblGrid>
      <w:tr w:rsidR="00A2727C">
        <w:trPr>
          <w:trHeight w:val="11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A2727C" w:rsidRDefault="00246E26">
            <w: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………………………………………………………………………………………………………………………….</w:t>
            </w:r>
          </w:p>
          <w:p w:rsidR="00A2727C" w:rsidRDefault="00246E26">
            <w:r>
              <w:t>Место жительства ………………………………………………………………………………………………………………...</w:t>
            </w:r>
          </w:p>
          <w:p w:rsidR="00A2727C" w:rsidRDefault="00246E26">
            <w:r>
              <w:t>Контактный телефон ……………………………………………………………………………………………………………..</w:t>
            </w:r>
          </w:p>
        </w:tc>
      </w:tr>
      <w:tr w:rsidR="00A2727C">
        <w:trPr>
          <w:trHeight w:val="10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pPr>
              <w:rPr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 w:rsidR="00A2727C" w:rsidRDefault="00246E26">
            <w:r>
              <w:t>Местонахождение, адрес…………………………………………………………………………………………………………</w:t>
            </w:r>
          </w:p>
          <w:p w:rsidR="00A2727C" w:rsidRDefault="00246E26">
            <w:r>
              <w:t>……………………………………………………………………………………………………………………………………..</w:t>
            </w:r>
          </w:p>
          <w:p w:rsidR="00A2727C" w:rsidRDefault="00246E26">
            <w:r>
              <w:t>Контактный телефон….…..……………………………………………………………………………………………………...</w:t>
            </w:r>
          </w:p>
        </w:tc>
      </w:tr>
      <w:tr w:rsidR="00A2727C">
        <w:trPr>
          <w:trHeight w:val="1179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………………………………………………………………………………………………….</w:t>
            </w:r>
          </w:p>
          <w:p w:rsidR="00A2727C" w:rsidRDefault="00246E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A2727C" w:rsidRDefault="00246E26">
            <w:r>
              <w:t>Действует на основании доверенности от «…..»…………20..….г., № …………………………………………………….</w:t>
            </w:r>
          </w:p>
          <w:p w:rsidR="00A2727C" w:rsidRDefault="00246E26">
            <w: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..……………………………………………….……………………………..………………………………………</w:t>
            </w:r>
          </w:p>
          <w:p w:rsidR="00A2727C" w:rsidRDefault="00246E26">
            <w:r>
              <w:t xml:space="preserve">Место жительства …………………………………………………………………………………………………………….. </w:t>
            </w:r>
          </w:p>
          <w:p w:rsidR="00A2727C" w:rsidRDefault="00246E26">
            <w: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A2727C" w:rsidRDefault="00246E26">
      <w:pPr>
        <w:widowControl w:val="0"/>
        <w:ind w:left="1" w:right="1" w:hanging="1"/>
        <w:jc w:val="both"/>
      </w:pPr>
      <w:r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A2727C" w:rsidRDefault="00A2727C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451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51"/>
      </w:tblGrid>
      <w:tr w:rsidR="00A2727C">
        <w:trPr>
          <w:trHeight w:val="397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t>Дата аукциона:………..……………. № Лота…………………………общая площадь Объекта (лота</w:t>
            </w:r>
            <w:proofErr w:type="gramStart"/>
            <w:r>
              <w:t xml:space="preserve">).................................., </w:t>
            </w:r>
            <w:proofErr w:type="gramEnd"/>
          </w:p>
          <w:p w:rsidR="00A2727C" w:rsidRDefault="00246E26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t>………………………………………………………...……………………………………………………………....</w:t>
            </w:r>
          </w:p>
        </w:tc>
      </w:tr>
    </w:tbl>
    <w:p w:rsidR="00A2727C" w:rsidRDefault="00246E26">
      <w:pPr>
        <w:widowControl w:val="0"/>
        <w:jc w:val="both"/>
        <w:rPr>
          <w:b/>
        </w:rPr>
      </w:pPr>
      <w:r>
        <w:rPr>
          <w:b/>
        </w:rPr>
        <w:t>и обязуется обеспечить поступление задатка в размере</w:t>
      </w:r>
    </w:p>
    <w:p w:rsidR="00A2727C" w:rsidRDefault="00246E26">
      <w:pPr>
        <w:widowControl w:val="0"/>
        <w:jc w:val="both"/>
      </w:pPr>
      <w:r>
        <w:rPr>
          <w:b/>
        </w:rPr>
        <w:t xml:space="preserve">______________ руб. </w:t>
      </w:r>
      <w:r>
        <w:t xml:space="preserve">_________________________________________________________________(сумма прописью), </w:t>
      </w:r>
    </w:p>
    <w:p w:rsidR="00A2727C" w:rsidRDefault="00246E26">
      <w:pPr>
        <w:widowControl w:val="0"/>
        <w:jc w:val="both"/>
        <w:rPr>
          <w:b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договором аренды. 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2727C" w:rsidRDefault="00246E26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lastRenderedPageBreak/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A2727C" w:rsidRDefault="00A2727C">
      <w:pPr>
        <w:ind w:left="360"/>
        <w:jc w:val="both"/>
        <w:rPr>
          <w:sz w:val="19"/>
          <w:szCs w:val="19"/>
        </w:rPr>
      </w:pP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A2727C" w:rsidRDefault="00A2727C">
      <w:pPr>
        <w:jc w:val="both"/>
        <w:rPr>
          <w:sz w:val="19"/>
          <w:szCs w:val="19"/>
        </w:rPr>
      </w:pPr>
    </w:p>
    <w:p w:rsidR="00A2727C" w:rsidRDefault="00246E26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31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 w:rsidR="00A2727C">
        <w:trPr>
          <w:trHeight w:val="187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2727C" w:rsidRDefault="00A2727C">
      <w:pPr>
        <w:jc w:val="both"/>
        <w:rPr>
          <w:b/>
          <w:bCs/>
          <w:sz w:val="28"/>
          <w:szCs w:val="28"/>
        </w:rPr>
      </w:pP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A2727C" w:rsidRDefault="00A2727C">
      <w:pPr>
        <w:jc w:val="both"/>
        <w:rPr>
          <w:sz w:val="6"/>
          <w:szCs w:val="6"/>
        </w:rPr>
      </w:pP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238"/>
        <w:gridCol w:w="207"/>
        <w:gridCol w:w="235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7"/>
        <w:gridCol w:w="198"/>
        <w:gridCol w:w="13"/>
        <w:gridCol w:w="234"/>
        <w:gridCol w:w="194"/>
        <w:gridCol w:w="176"/>
        <w:gridCol w:w="76"/>
        <w:gridCol w:w="222"/>
        <w:gridCol w:w="240"/>
        <w:gridCol w:w="73"/>
        <w:gridCol w:w="373"/>
        <w:gridCol w:w="235"/>
        <w:gridCol w:w="210"/>
        <w:gridCol w:w="393"/>
        <w:gridCol w:w="53"/>
        <w:gridCol w:w="453"/>
        <w:gridCol w:w="105"/>
        <w:gridCol w:w="343"/>
        <w:gridCol w:w="264"/>
        <w:gridCol w:w="182"/>
        <w:gridCol w:w="422"/>
        <w:gridCol w:w="73"/>
        <w:gridCol w:w="451"/>
        <w:gridCol w:w="118"/>
        <w:gridCol w:w="333"/>
        <w:gridCol w:w="275"/>
        <w:gridCol w:w="175"/>
        <w:gridCol w:w="413"/>
      </w:tblGrid>
      <w:tr w:rsidR="00A2727C">
        <w:trPr>
          <w:trHeight w:val="224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39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r>
              <w:t>к/с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24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246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A2727C">
            <w:pPr>
              <w:snapToGrid w:val="0"/>
              <w:rPr>
                <w:sz w:val="18"/>
                <w:szCs w:val="18"/>
              </w:rPr>
            </w:pPr>
          </w:p>
        </w:tc>
      </w:tr>
      <w:tr w:rsidR="00A2727C">
        <w:trPr>
          <w:trHeight w:val="419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58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</w:tr>
    </w:tbl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A2727C" w:rsidRDefault="00246E26">
      <w:pPr>
        <w:rPr>
          <w:b/>
        </w:rPr>
      </w:pPr>
      <w:r>
        <w:rPr>
          <w:b/>
        </w:rPr>
        <w:t>Заявитель</w:t>
      </w:r>
    </w:p>
    <w:p w:rsidR="00A2727C" w:rsidRDefault="00246E26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A2727C" w:rsidRDefault="00246E26">
      <w:pPr>
        <w:jc w:val="center"/>
      </w:pPr>
      <w:r>
        <w:t>(Должность и подпись Заявителя или его уполномоченного представителя или юридического лица)</w:t>
      </w:r>
    </w:p>
    <w:p w:rsidR="00A2727C" w:rsidRDefault="00246E26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A2727C" w:rsidRDefault="00A2727C">
      <w:pPr>
        <w:jc w:val="both"/>
        <w:rPr>
          <w:b/>
        </w:rPr>
      </w:pPr>
    </w:p>
    <w:p w:rsidR="00A2727C" w:rsidRDefault="00A2727C">
      <w:pPr>
        <w:jc w:val="both"/>
        <w:rPr>
          <w:b/>
        </w:rPr>
      </w:pPr>
    </w:p>
    <w:p w:rsidR="00A2727C" w:rsidRDefault="00246E26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A2727C" w:rsidRDefault="00A2727C">
      <w:pPr>
        <w:jc w:val="both"/>
        <w:rPr>
          <w:b/>
          <w:sz w:val="12"/>
          <w:szCs w:val="12"/>
        </w:rPr>
      </w:pPr>
    </w:p>
    <w:p w:rsidR="00A2727C" w:rsidRDefault="00246E26">
      <w:pPr>
        <w:jc w:val="both"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A2727C" w:rsidRDefault="00246E26"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jc w:val="right"/>
        <w:rPr>
          <w:i/>
        </w:rPr>
      </w:pPr>
    </w:p>
    <w:p w:rsidR="00A2727C" w:rsidRDefault="00246E26">
      <w:pPr>
        <w:jc w:val="right"/>
        <w:rPr>
          <w:i/>
        </w:rPr>
      </w:pPr>
      <w:r>
        <w:rPr>
          <w:i/>
        </w:rPr>
        <w:lastRenderedPageBreak/>
        <w:t>Приложение №2</w:t>
      </w:r>
    </w:p>
    <w:p w:rsidR="00A2727C" w:rsidRDefault="00246E26">
      <w:pPr>
        <w:jc w:val="right"/>
        <w:rPr>
          <w:i/>
        </w:rPr>
      </w:pPr>
      <w:r>
        <w:rPr>
          <w:i/>
        </w:rPr>
        <w:t>Форма договора аренды земельного участка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 w:rsidR="00A2727C" w:rsidRDefault="00A2727C">
      <w:pPr>
        <w:widowControl w:val="0"/>
        <w:ind w:firstLine="540"/>
        <w:jc w:val="both"/>
      </w:pPr>
    </w:p>
    <w:p w:rsidR="00A2727C" w:rsidRDefault="00A2727C">
      <w:pPr>
        <w:widowControl w:val="0"/>
        <w:ind w:firstLine="540"/>
        <w:jc w:val="both"/>
      </w:pPr>
    </w:p>
    <w:p w:rsidR="00A2727C" w:rsidRDefault="00246E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государственной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_________________________________, и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__________________________________,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Арендатор:___________________________________________________________________, 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_____________________________________, 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Участок передается Арендодателем и принимается Арендатором в аренду на срок </w:t>
      </w:r>
      <w:r>
        <w:rPr>
          <w:sz w:val="24"/>
          <w:szCs w:val="24"/>
        </w:rPr>
        <w:lastRenderedPageBreak/>
        <w:t>______________ по Акту приема-передачи, являющемуся неотъемлемой частью Договора.</w:t>
      </w:r>
    </w:p>
    <w:p w:rsidR="00A2727C" w:rsidRDefault="00246E26">
      <w:pPr>
        <w:widowControl w:val="0"/>
        <w:ind w:firstLine="708"/>
        <w:jc w:val="both"/>
      </w:pPr>
      <w:r>
        <w:rPr>
          <w:sz w:val="24"/>
          <w:szCs w:val="24"/>
        </w:rPr>
        <w:t xml:space="preserve">2.2. Договор, заключенный на срок более одного года, считается заключенным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 w:rsidR="00A2727C" w:rsidRDefault="00A2727C">
      <w:pPr>
        <w:widowControl w:val="0"/>
        <w:ind w:firstLine="540"/>
        <w:jc w:val="center"/>
        <w:rPr>
          <w:b/>
          <w:sz w:val="24"/>
          <w:szCs w:val="24"/>
        </w:rPr>
      </w:pP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>
        <w:rPr>
          <w:sz w:val="24"/>
          <w:szCs w:val="24"/>
        </w:rPr>
        <w:t xml:space="preserve"> _________ (_______) </w:t>
      </w:r>
      <w:proofErr w:type="gramEnd"/>
      <w:r>
        <w:rPr>
          <w:sz w:val="24"/>
          <w:szCs w:val="24"/>
        </w:rPr>
        <w:t>рублей _____ копеек в год.</w:t>
      </w:r>
    </w:p>
    <w:p w:rsidR="00A2727C" w:rsidRDefault="00246E26">
      <w:pPr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</w:t>
      </w:r>
      <w:proofErr w:type="gramStart"/>
      <w:r>
        <w:rPr>
          <w:sz w:val="24"/>
          <w:szCs w:val="24"/>
        </w:rPr>
        <w:t xml:space="preserve"> ____ (____________)  </w:t>
      </w:r>
      <w:proofErr w:type="gramEnd"/>
      <w:r>
        <w:rPr>
          <w:sz w:val="24"/>
          <w:szCs w:val="24"/>
        </w:rPr>
        <w:t>рублей.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A2727C" w:rsidRDefault="00246E26">
      <w:pPr>
        <w:widowControl w:val="0"/>
        <w:ind w:firstLine="540"/>
        <w:jc w:val="both"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 w:rsidR="00A2727C" w:rsidRDefault="00246E26">
      <w:pPr>
        <w:pStyle w:val="ac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A2727C" w:rsidRDefault="00246E26">
      <w:pPr>
        <w:pStyle w:val="ac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4.1.3. Требовать досрочного расторжения настоящего Договора в судебном порядке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: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proofErr w:type="gramStart"/>
      <w:r>
        <w:rPr>
          <w:sz w:val="24"/>
          <w:szCs w:val="24"/>
        </w:rPr>
        <w:t>использовании</w:t>
      </w:r>
      <w:proofErr w:type="gramEnd"/>
      <w:r>
        <w:rPr>
          <w:sz w:val="24"/>
          <w:szCs w:val="24"/>
        </w:rP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2) умышленном или осознанном </w:t>
      </w:r>
      <w:proofErr w:type="gramStart"/>
      <w:r>
        <w:rPr>
          <w:sz w:val="24"/>
          <w:szCs w:val="24"/>
        </w:rPr>
        <w:t>совершении</w:t>
      </w:r>
      <w:proofErr w:type="gramEnd"/>
      <w:r>
        <w:rPr>
          <w:sz w:val="24"/>
          <w:szCs w:val="24"/>
        </w:rP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невнесении</w:t>
      </w:r>
      <w:proofErr w:type="gramEnd"/>
      <w:r>
        <w:rPr>
          <w:sz w:val="24"/>
          <w:szCs w:val="24"/>
        </w:rPr>
        <w:t xml:space="preserve"> арендной платы по первому этапу в установленный настоящим Договором срок; 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proofErr w:type="gramStart"/>
      <w:r>
        <w:rPr>
          <w:sz w:val="24"/>
          <w:szCs w:val="24"/>
        </w:rP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 xml:space="preserve">4.3.3. </w:t>
      </w:r>
      <w:proofErr w:type="gramStart"/>
      <w:r>
        <w:rPr>
          <w:sz w:val="24"/>
          <w:szCs w:val="24"/>
        </w:rP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</w:t>
      </w:r>
      <w:proofErr w:type="gramEnd"/>
      <w:r>
        <w:rPr>
          <w:sz w:val="24"/>
          <w:szCs w:val="24"/>
        </w:rPr>
        <w:t>, если договор аренды заключается на срок до пяти лет.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Арендодатель и Арендатор имеют иные права и </w:t>
      </w:r>
      <w:proofErr w:type="gramStart"/>
      <w:r>
        <w:rPr>
          <w:sz w:val="24"/>
          <w:szCs w:val="24"/>
        </w:rPr>
        <w:t>несут иные обязанности</w:t>
      </w:r>
      <w:proofErr w:type="gramEnd"/>
      <w:r>
        <w:rPr>
          <w:sz w:val="24"/>
          <w:szCs w:val="24"/>
        </w:rPr>
        <w:t>, установленные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>
        <w:rPr>
          <w:sz w:val="24"/>
          <w:szCs w:val="24"/>
        </w:rPr>
        <w:t>погашает</w:t>
      </w:r>
      <w:proofErr w:type="gramEnd"/>
      <w:r>
        <w:rPr>
          <w:sz w:val="24"/>
          <w:szCs w:val="24"/>
        </w:rPr>
        <w:t xml:space="preserve"> прежде всего пени, а в оставшейся части - основную сумму долга.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аренды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A2727C" w:rsidRDefault="00246E26">
      <w:pPr>
        <w:widowControl w:val="0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jc w:val="both"/>
      </w:pPr>
      <w:r>
        <w:rPr>
          <w:sz w:val="24"/>
          <w:szCs w:val="24"/>
        </w:rPr>
        <w:t>Приложение № 1 – расчет арендной платы.</w:t>
      </w:r>
    </w:p>
    <w:p w:rsidR="00A2727C" w:rsidRDefault="00246E26">
      <w:pPr>
        <w:widowControl w:val="0"/>
        <w:jc w:val="both"/>
      </w:pPr>
      <w:r>
        <w:rPr>
          <w:sz w:val="24"/>
          <w:szCs w:val="24"/>
        </w:rPr>
        <w:t>Приложение № 2 - Акт приема-передачи.</w:t>
      </w:r>
    </w:p>
    <w:p w:rsidR="00A2727C" w:rsidRDefault="00A2727C">
      <w:pPr>
        <w:jc w:val="center"/>
        <w:rPr>
          <w:b/>
          <w:bCs/>
          <w:sz w:val="24"/>
          <w:szCs w:val="24"/>
        </w:rPr>
      </w:pP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 w:rsidR="00A2727C" w:rsidRDefault="00246E26">
      <w:pPr>
        <w:rPr>
          <w:bCs/>
          <w:i/>
          <w:sz w:val="24"/>
          <w:szCs w:val="24"/>
        </w:rPr>
      </w:pPr>
      <w:r>
        <w:br w:type="page"/>
      </w:r>
    </w:p>
    <w:p w:rsidR="00A2727C" w:rsidRDefault="00246E26">
      <w:pPr>
        <w:jc w:val="right"/>
        <w:rPr>
          <w:i/>
        </w:rPr>
      </w:pPr>
      <w:r>
        <w:rPr>
          <w:i/>
        </w:rPr>
        <w:lastRenderedPageBreak/>
        <w:t>Форма акта приема-передачи к договору аренды земельного участка</w:t>
      </w:r>
    </w:p>
    <w:p w:rsidR="00A2727C" w:rsidRDefault="00246E26">
      <w:pPr>
        <w:keepNext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2727C" w:rsidRDefault="00A2727C">
      <w:pPr>
        <w:keepNext/>
        <w:ind w:firstLine="567"/>
        <w:jc w:val="right"/>
        <w:outlineLvl w:val="0"/>
        <w:rPr>
          <w:sz w:val="24"/>
          <w:szCs w:val="24"/>
        </w:rPr>
      </w:pPr>
    </w:p>
    <w:p w:rsidR="00A2727C" w:rsidRDefault="00246E26">
      <w:pPr>
        <w:keepNext/>
        <w:ind w:firstLine="567"/>
        <w:jc w:val="right"/>
        <w:outlineLvl w:val="0"/>
      </w:pPr>
      <w:r>
        <w:rPr>
          <w:sz w:val="24"/>
          <w:szCs w:val="24"/>
        </w:rPr>
        <w:t xml:space="preserve">         </w:t>
      </w:r>
      <w:r>
        <w:t xml:space="preserve">Приложение 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  <w:t xml:space="preserve"> к  Договору аренды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земельного участка </w:t>
      </w:r>
      <w:proofErr w:type="gramStart"/>
      <w:r>
        <w:t>от</w:t>
      </w:r>
      <w:proofErr w:type="gramEnd"/>
    </w:p>
    <w:p w:rsidR="00A2727C" w:rsidRDefault="00246E26">
      <w:pPr>
        <w:widowControl w:val="0"/>
        <w:ind w:firstLine="567"/>
        <w:jc w:val="right"/>
      </w:pPr>
      <w:r>
        <w:t xml:space="preserve"> «_____»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№ ______ </w:t>
      </w:r>
    </w:p>
    <w:p w:rsidR="00A2727C" w:rsidRDefault="00A2727C">
      <w:pPr>
        <w:widowControl w:val="0"/>
        <w:ind w:firstLine="567"/>
        <w:jc w:val="right"/>
      </w:pPr>
    </w:p>
    <w:p w:rsidR="00A2727C" w:rsidRDefault="00246E26">
      <w:pPr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A2727C" w:rsidRDefault="00246E26">
      <w:pPr>
        <w:keepNext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A2727C" w:rsidRDefault="00246E26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 w:rsidR="00A2727C" w:rsidRDefault="00246E26">
      <w:pPr>
        <w:ind w:firstLine="540"/>
        <w:jc w:val="both"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 w:rsidR="00A2727C" w:rsidRDefault="00A2727C">
      <w:pPr>
        <w:ind w:right="-298"/>
        <w:rPr>
          <w:sz w:val="24"/>
          <w:szCs w:val="24"/>
        </w:rPr>
      </w:pPr>
    </w:p>
    <w:p w:rsidR="00A2727C" w:rsidRDefault="00246E26">
      <w:pPr>
        <w:pStyle w:val="af"/>
        <w:ind w:firstLine="567"/>
        <w:jc w:val="both"/>
      </w:pPr>
      <w:proofErr w:type="gramStart"/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  <w:proofErr w:type="gramEnd"/>
    </w:p>
    <w:p w:rsidR="00A2727C" w:rsidRDefault="00246E26">
      <w:pPr>
        <w:pStyle w:val="21"/>
        <w:spacing w:after="0" w:line="240" w:lineRule="auto"/>
        <w:ind w:firstLine="567"/>
        <w:jc w:val="both"/>
      </w:pPr>
      <w:r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t xml:space="preserve">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b/>
        </w:rPr>
        <w:t>___________</w:t>
      </w:r>
      <w: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A2727C" w:rsidRDefault="00246E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A2727C" w:rsidRDefault="00246E26">
      <w:pPr>
        <w:ind w:right="-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 w:rsidR="00A2727C" w:rsidRDefault="00246E26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4"/>
        <w:gridCol w:w="5246"/>
      </w:tblGrid>
      <w:tr w:rsidR="00A2727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tabs>
                <w:tab w:val="left" w:pos="524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2727C" w:rsidRDefault="00A2727C">
      <w:pPr>
        <w:ind w:left="180"/>
        <w:jc w:val="both"/>
        <w:rPr>
          <w:b/>
          <w:sz w:val="24"/>
          <w:szCs w:val="24"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847"/>
        <w:gridCol w:w="5179"/>
      </w:tblGrid>
      <w:tr w:rsidR="00A2727C">
        <w:trPr>
          <w:trHeight w:val="951"/>
        </w:trPr>
        <w:tc>
          <w:tcPr>
            <w:tcW w:w="4847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 w:rsidR="00A2727C" w:rsidRDefault="00246E26">
            <w:pPr>
              <w:pStyle w:val="12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 w:rsidR="00A2727C" w:rsidRDefault="00A2727C">
      <w:pPr>
        <w:ind w:right="-298"/>
        <w:jc w:val="both"/>
        <w:rPr>
          <w:sz w:val="24"/>
          <w:szCs w:val="24"/>
        </w:rPr>
      </w:pPr>
    </w:p>
    <w:p w:rsidR="00A2727C" w:rsidRDefault="00A2727C">
      <w:pPr>
        <w:jc w:val="right"/>
      </w:pPr>
    </w:p>
    <w:sectPr w:rsidR="00A2727C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sGothic_A.Z_PS">
    <w:charset w:val="CC"/>
    <w:family w:val="roman"/>
    <w:pitch w:val="variable"/>
  </w:font>
  <w:font w:name="Times New Roman CYR">
    <w:panose1 w:val="020206030504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61BA598B"/>
    <w:multiLevelType w:val="multilevel"/>
    <w:tmpl w:val="D070D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7C"/>
    <w:rsid w:val="001575F8"/>
    <w:rsid w:val="001E0363"/>
    <w:rsid w:val="00246E26"/>
    <w:rsid w:val="003A7B20"/>
    <w:rsid w:val="005331B2"/>
    <w:rsid w:val="009251E7"/>
    <w:rsid w:val="00996F6C"/>
    <w:rsid w:val="00A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Основной текст 3 Знак"/>
    <w:basedOn w:val="a0"/>
    <w:qFormat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spacing w:val="2"/>
      <w:sz w:val="19"/>
      <w:szCs w:val="19"/>
      <w:highlight w:val="white"/>
    </w:rPr>
  </w:style>
  <w:style w:type="character" w:customStyle="1" w:styleId="20">
    <w:name w:val="Основной текст (2)_"/>
    <w:basedOn w:val="a0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  <w:lang w:val="en-US"/>
    </w:rPr>
  </w:style>
  <w:style w:type="character" w:customStyle="1" w:styleId="ListLabel35">
    <w:name w:val="ListLabel 35"/>
    <w:qFormat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6">
    <w:name w:val="ListLabel 56"/>
    <w:qFormat/>
    <w:rPr>
      <w:rFonts w:ascii="Times New Roman" w:hAnsi="Times New Roman" w:cs="Times New Roman"/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  <w:lang w:val="en-US"/>
    </w:rPr>
  </w:style>
  <w:style w:type="character" w:customStyle="1" w:styleId="ListLabel59">
    <w:name w:val="ListLabel 59"/>
    <w:qFormat/>
    <w:rPr>
      <w:rFonts w:ascii="Times New Roman" w:hAnsi="Times New Roman"/>
      <w:b/>
      <w:sz w:val="24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  <w:lang w:val="en-US"/>
    </w:rPr>
  </w:style>
  <w:style w:type="character" w:customStyle="1" w:styleId="ListLabel71">
    <w:name w:val="ListLabel 71"/>
    <w:qFormat/>
    <w:rPr>
      <w:rFonts w:ascii="Times New Roman" w:hAnsi="Times New Roman"/>
      <w:b/>
      <w:sz w:val="24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rFonts w:ascii="Times New Roman" w:hAnsi="Times New Roman" w:cs="Times New Roman"/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  <w:lang w:val="en-US"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  <w:lang w:val="en-US"/>
    </w:rPr>
  </w:style>
  <w:style w:type="character" w:customStyle="1" w:styleId="ListLabel95">
    <w:name w:val="ListLabel 95"/>
    <w:qFormat/>
    <w:rPr>
      <w:rFonts w:ascii="Times New Roman" w:hAnsi="Times New Roman"/>
      <w:b/>
      <w:sz w:val="24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  <w:lang w:val="en-US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  <w:lang w:val="en-US"/>
    </w:rPr>
  </w:style>
  <w:style w:type="character" w:customStyle="1" w:styleId="ListLabel131">
    <w:name w:val="ListLabel 131"/>
    <w:qFormat/>
    <w:rPr>
      <w:rFonts w:ascii="Times New Roman" w:hAnsi="Times New Roman"/>
      <w:b/>
      <w:sz w:val="24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4"/>
      <w:szCs w:val="24"/>
    </w:rPr>
  </w:style>
  <w:style w:type="character" w:customStyle="1" w:styleId="ListLabel141">
    <w:name w:val="ListLabel 141"/>
    <w:qFormat/>
    <w:rPr>
      <w:sz w:val="24"/>
      <w:szCs w:val="24"/>
    </w:rPr>
  </w:style>
  <w:style w:type="character" w:customStyle="1" w:styleId="ListLabel142">
    <w:name w:val="ListLabel 142"/>
    <w:qFormat/>
    <w:rPr>
      <w:sz w:val="24"/>
      <w:szCs w:val="24"/>
      <w:lang w:val="en-US"/>
    </w:rPr>
  </w:style>
  <w:style w:type="character" w:customStyle="1" w:styleId="ListLabel143">
    <w:name w:val="ListLabel 143"/>
    <w:qFormat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  <w:lang w:val="en-US"/>
    </w:rPr>
  </w:style>
  <w:style w:type="character" w:customStyle="1" w:styleId="ListLabel155">
    <w:name w:val="ListLabel 155"/>
    <w:qFormat/>
    <w:rPr>
      <w:rFonts w:ascii="Times New Roman" w:hAnsi="Times New Roman"/>
      <w:b/>
      <w:sz w:val="24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4">
    <w:name w:val="ListLabel 164"/>
    <w:qFormat/>
    <w:rPr>
      <w:rFonts w:ascii="Times New Roman" w:hAnsi="Times New Roman" w:cs="Times New Roman"/>
      <w:sz w:val="24"/>
      <w:szCs w:val="24"/>
    </w:rPr>
  </w:style>
  <w:style w:type="character" w:customStyle="1" w:styleId="ListLabel165">
    <w:name w:val="ListLabel 165"/>
    <w:qFormat/>
    <w:rPr>
      <w:sz w:val="24"/>
      <w:szCs w:val="24"/>
    </w:rPr>
  </w:style>
  <w:style w:type="character" w:customStyle="1" w:styleId="ListLabel166">
    <w:name w:val="ListLabel 166"/>
    <w:qFormat/>
    <w:rPr>
      <w:sz w:val="24"/>
      <w:szCs w:val="24"/>
      <w:lang w:val="en-US"/>
    </w:rPr>
  </w:style>
  <w:style w:type="character" w:customStyle="1" w:styleId="ListLabel167">
    <w:name w:val="ListLabel 167"/>
    <w:qFormat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  <w:lang w:val="en-US"/>
    </w:rPr>
  </w:style>
  <w:style w:type="character" w:customStyle="1" w:styleId="ListLabel179">
    <w:name w:val="ListLabel 179"/>
    <w:qFormat/>
    <w:rPr>
      <w:rFonts w:ascii="Times New Roman" w:hAnsi="Times New Roman"/>
      <w:b/>
      <w:sz w:val="24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8">
    <w:name w:val="ListLabel 188"/>
    <w:qFormat/>
    <w:rPr>
      <w:rFonts w:ascii="Times New Roman" w:hAnsi="Times New Roman" w:cs="Times New Roman"/>
      <w:sz w:val="24"/>
      <w:szCs w:val="24"/>
    </w:rPr>
  </w:style>
  <w:style w:type="character" w:customStyle="1" w:styleId="ListLabel189">
    <w:name w:val="ListLabel 189"/>
    <w:qFormat/>
    <w:rPr>
      <w:sz w:val="24"/>
      <w:szCs w:val="24"/>
    </w:rPr>
  </w:style>
  <w:style w:type="character" w:customStyle="1" w:styleId="ListLabel190">
    <w:name w:val="ListLabel 190"/>
    <w:qFormat/>
    <w:rPr>
      <w:sz w:val="24"/>
      <w:szCs w:val="24"/>
      <w:lang w:val="en-US"/>
    </w:rPr>
  </w:style>
  <w:style w:type="character" w:customStyle="1" w:styleId="ListLabel191">
    <w:name w:val="ListLabel 191"/>
    <w:qFormat/>
    <w:rPr>
      <w:rFonts w:ascii="Times New Roman" w:hAnsi="Times New Roman"/>
      <w:b/>
      <w:sz w:val="24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  <w:lang w:val="en-US"/>
    </w:rPr>
  </w:style>
  <w:style w:type="character" w:customStyle="1" w:styleId="ListLabel203">
    <w:name w:val="ListLabel 203"/>
    <w:qFormat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2">
    <w:name w:val="ListLabel 212"/>
    <w:qFormat/>
    <w:rPr>
      <w:rFonts w:ascii="Times New Roman" w:hAnsi="Times New Roman" w:cs="Times New Roman"/>
      <w:sz w:val="24"/>
      <w:szCs w:val="24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sz w:val="24"/>
      <w:szCs w:val="24"/>
      <w:lang w:val="en-US"/>
    </w:rPr>
  </w:style>
  <w:style w:type="character" w:customStyle="1" w:styleId="ListLabel215">
    <w:name w:val="ListLabel 215"/>
    <w:qFormat/>
    <w:rPr>
      <w:rFonts w:ascii="Times New Roman" w:hAnsi="Times New Roman"/>
      <w:b/>
      <w:sz w:val="24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4">
    <w:name w:val="ListLabel 224"/>
    <w:qFormat/>
    <w:rPr>
      <w:rFonts w:ascii="Times New Roman" w:hAnsi="Times New Roman" w:cs="Times New Roman"/>
      <w:sz w:val="24"/>
      <w:szCs w:val="24"/>
    </w:rPr>
  </w:style>
  <w:style w:type="character" w:customStyle="1" w:styleId="ListLabel225">
    <w:name w:val="ListLabel 225"/>
    <w:qFormat/>
    <w:rPr>
      <w:sz w:val="24"/>
      <w:szCs w:val="24"/>
    </w:rPr>
  </w:style>
  <w:style w:type="character" w:customStyle="1" w:styleId="ListLabel226">
    <w:name w:val="ListLabel 226"/>
    <w:qFormat/>
    <w:rPr>
      <w:sz w:val="24"/>
      <w:szCs w:val="24"/>
      <w:lang w:val="en-US"/>
    </w:rPr>
  </w:style>
  <w:style w:type="character" w:customStyle="1" w:styleId="ListLabel227">
    <w:name w:val="ListLabel 227"/>
    <w:qFormat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6">
    <w:name w:val="ListLabel 236"/>
    <w:qFormat/>
    <w:rPr>
      <w:rFonts w:ascii="Times New Roman" w:hAnsi="Times New Roman" w:cs="Times New Roman"/>
      <w:sz w:val="24"/>
      <w:szCs w:val="24"/>
    </w:rPr>
  </w:style>
  <w:style w:type="character" w:customStyle="1" w:styleId="ListLabel237">
    <w:name w:val="ListLabel 237"/>
    <w:qFormat/>
    <w:rPr>
      <w:sz w:val="24"/>
      <w:szCs w:val="24"/>
    </w:rPr>
  </w:style>
  <w:style w:type="character" w:customStyle="1" w:styleId="ListLabel238">
    <w:name w:val="ListLabel 238"/>
    <w:qFormat/>
    <w:rPr>
      <w:sz w:val="24"/>
      <w:szCs w:val="24"/>
      <w:lang w:val="en-US"/>
    </w:rPr>
  </w:style>
  <w:style w:type="character" w:customStyle="1" w:styleId="ListLabel239">
    <w:name w:val="ListLabel 239"/>
    <w:qFormat/>
    <w:rPr>
      <w:rFonts w:ascii="Times New Roman" w:hAnsi="Times New Roman"/>
      <w:b/>
      <w:sz w:val="24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4"/>
      <w:szCs w:val="24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sz w:val="24"/>
      <w:szCs w:val="24"/>
      <w:lang w:val="en-US"/>
    </w:rPr>
  </w:style>
  <w:style w:type="character" w:customStyle="1" w:styleId="ListLabel251">
    <w:name w:val="ListLabel 251"/>
    <w:qFormat/>
    <w:rPr>
      <w:rFonts w:ascii="Times New Roman" w:hAnsi="Times New Roman"/>
      <w:b/>
      <w:sz w:val="24"/>
    </w:rPr>
  </w:style>
  <w:style w:type="character" w:customStyle="1" w:styleId="ListLabel252">
    <w:name w:val="ListLabel 252"/>
    <w:qFormat/>
    <w:rPr>
      <w:color w:val="000000"/>
    </w:rPr>
  </w:style>
  <w:style w:type="character" w:customStyle="1" w:styleId="ListLabel253">
    <w:name w:val="ListLabel 253"/>
    <w:qFormat/>
    <w:rPr>
      <w:color w:val="000000"/>
    </w:rPr>
  </w:style>
  <w:style w:type="character" w:customStyle="1" w:styleId="ListLabel254">
    <w:name w:val="ListLabel 254"/>
    <w:qFormat/>
    <w:rPr>
      <w:color w:val="000000"/>
    </w:rPr>
  </w:style>
  <w:style w:type="character" w:customStyle="1" w:styleId="ListLabel255">
    <w:name w:val="ListLabel 255"/>
    <w:qFormat/>
    <w:rPr>
      <w:color w:val="000000"/>
    </w:rPr>
  </w:style>
  <w:style w:type="character" w:customStyle="1" w:styleId="ListLabel256">
    <w:name w:val="ListLabel 256"/>
    <w:qFormat/>
    <w:rPr>
      <w:color w:val="000000"/>
    </w:rPr>
  </w:style>
  <w:style w:type="character" w:customStyle="1" w:styleId="ListLabel257">
    <w:name w:val="ListLabel 257"/>
    <w:qFormat/>
    <w:rPr>
      <w:color w:val="000000"/>
    </w:rPr>
  </w:style>
  <w:style w:type="character" w:customStyle="1" w:styleId="ListLabel258">
    <w:name w:val="ListLabel 258"/>
    <w:qFormat/>
    <w:rPr>
      <w:color w:val="000000"/>
    </w:rPr>
  </w:style>
  <w:style w:type="character" w:customStyle="1" w:styleId="ListLabel259">
    <w:name w:val="ListLabel 259"/>
    <w:qFormat/>
    <w:rPr>
      <w:color w:val="000000"/>
    </w:rPr>
  </w:style>
  <w:style w:type="character" w:customStyle="1" w:styleId="ListLabel260">
    <w:name w:val="ListLabel 260"/>
    <w:qFormat/>
    <w:rPr>
      <w:rFonts w:ascii="Times New Roman" w:hAnsi="Times New Roman" w:cs="Times New Roman"/>
      <w:sz w:val="24"/>
      <w:szCs w:val="24"/>
    </w:rPr>
  </w:style>
  <w:style w:type="character" w:customStyle="1" w:styleId="ListLabel261">
    <w:name w:val="ListLabel 261"/>
    <w:qFormat/>
    <w:rPr>
      <w:sz w:val="24"/>
      <w:szCs w:val="24"/>
    </w:rPr>
  </w:style>
  <w:style w:type="character" w:customStyle="1" w:styleId="ListLabel262">
    <w:name w:val="ListLabel 262"/>
    <w:qFormat/>
    <w:rPr>
      <w:sz w:val="24"/>
      <w:szCs w:val="24"/>
      <w:lang w:val="en-US"/>
    </w:rPr>
  </w:style>
  <w:style w:type="character" w:customStyle="1" w:styleId="ListLabel263">
    <w:name w:val="ListLabel 263"/>
    <w:qFormat/>
    <w:rPr>
      <w:rFonts w:ascii="Times New Roman" w:hAnsi="Times New Roman"/>
      <w:b/>
      <w:sz w:val="24"/>
    </w:rPr>
  </w:style>
  <w:style w:type="character" w:customStyle="1" w:styleId="ListLabel264">
    <w:name w:val="ListLabel 264"/>
    <w:qFormat/>
    <w:rPr>
      <w:color w:val="000000"/>
    </w:rPr>
  </w:style>
  <w:style w:type="character" w:customStyle="1" w:styleId="ListLabel265">
    <w:name w:val="ListLabel 265"/>
    <w:qFormat/>
    <w:rPr>
      <w:color w:val="000000"/>
    </w:rPr>
  </w:style>
  <w:style w:type="character" w:customStyle="1" w:styleId="ListLabel266">
    <w:name w:val="ListLabel 266"/>
    <w:qFormat/>
    <w:rPr>
      <w:color w:val="000000"/>
    </w:rPr>
  </w:style>
  <w:style w:type="character" w:customStyle="1" w:styleId="ListLabel267">
    <w:name w:val="ListLabel 267"/>
    <w:qFormat/>
    <w:rPr>
      <w:color w:val="000000"/>
    </w:rPr>
  </w:style>
  <w:style w:type="character" w:customStyle="1" w:styleId="ListLabel268">
    <w:name w:val="ListLabel 268"/>
    <w:qFormat/>
    <w:rPr>
      <w:color w:val="000000"/>
    </w:rPr>
  </w:style>
  <w:style w:type="character" w:customStyle="1" w:styleId="ListLabel269">
    <w:name w:val="ListLabel 269"/>
    <w:qFormat/>
    <w:rPr>
      <w:color w:val="000000"/>
    </w:rPr>
  </w:style>
  <w:style w:type="character" w:customStyle="1" w:styleId="ListLabel270">
    <w:name w:val="ListLabel 270"/>
    <w:qFormat/>
    <w:rPr>
      <w:color w:val="000000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sz w:val="24"/>
      <w:szCs w:val="24"/>
    </w:rPr>
  </w:style>
  <w:style w:type="character" w:customStyle="1" w:styleId="ListLabel274">
    <w:name w:val="ListLabel 274"/>
    <w:qFormat/>
    <w:rPr>
      <w:sz w:val="24"/>
      <w:szCs w:val="24"/>
      <w:lang w:val="en-US"/>
    </w:rPr>
  </w:style>
  <w:style w:type="character" w:customStyle="1" w:styleId="ListLabel275">
    <w:name w:val="ListLabel 275"/>
    <w:qFormat/>
    <w:rPr>
      <w:rFonts w:ascii="Times New Roman" w:hAnsi="Times New Roman"/>
      <w:b/>
      <w:sz w:val="24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000000"/>
    </w:rPr>
  </w:style>
  <w:style w:type="character" w:customStyle="1" w:styleId="ListLabel279">
    <w:name w:val="ListLabel 279"/>
    <w:qFormat/>
    <w:rPr>
      <w:color w:val="000000"/>
    </w:rPr>
  </w:style>
  <w:style w:type="character" w:customStyle="1" w:styleId="ListLabel280">
    <w:name w:val="ListLabel 280"/>
    <w:qFormat/>
    <w:rPr>
      <w:color w:val="000000"/>
    </w:rPr>
  </w:style>
  <w:style w:type="character" w:customStyle="1" w:styleId="ListLabel281">
    <w:name w:val="ListLabel 281"/>
    <w:qFormat/>
    <w:rPr>
      <w:color w:val="000000"/>
    </w:rPr>
  </w:style>
  <w:style w:type="character" w:customStyle="1" w:styleId="ListLabel282">
    <w:name w:val="ListLabel 282"/>
    <w:qFormat/>
    <w:rPr>
      <w:color w:val="000000"/>
    </w:rPr>
  </w:style>
  <w:style w:type="character" w:customStyle="1" w:styleId="ListLabel283">
    <w:name w:val="ListLabel 283"/>
    <w:qFormat/>
    <w:rPr>
      <w:color w:val="000000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  <w:lang w:val="en-US"/>
    </w:rPr>
  </w:style>
  <w:style w:type="character" w:customStyle="1" w:styleId="ListLabel287">
    <w:name w:val="ListLabel 287"/>
    <w:qFormat/>
    <w:rPr>
      <w:rFonts w:ascii="Times New Roman" w:hAnsi="Times New Roman"/>
      <w:b/>
      <w:sz w:val="24"/>
    </w:rPr>
  </w:style>
  <w:style w:type="character" w:customStyle="1" w:styleId="ListLabel288">
    <w:name w:val="ListLabel 288"/>
    <w:qFormat/>
    <w:rPr>
      <w:color w:val="000000"/>
    </w:rPr>
  </w:style>
  <w:style w:type="character" w:customStyle="1" w:styleId="ListLabel289">
    <w:name w:val="ListLabel 289"/>
    <w:qFormat/>
    <w:rPr>
      <w:color w:val="000000"/>
    </w:rPr>
  </w:style>
  <w:style w:type="character" w:customStyle="1" w:styleId="ListLabel290">
    <w:name w:val="ListLabel 290"/>
    <w:qFormat/>
    <w:rPr>
      <w:color w:val="000000"/>
    </w:rPr>
  </w:style>
  <w:style w:type="character" w:customStyle="1" w:styleId="ListLabel291">
    <w:name w:val="ListLabel 291"/>
    <w:qFormat/>
    <w:rPr>
      <w:color w:val="000000"/>
    </w:rPr>
  </w:style>
  <w:style w:type="character" w:customStyle="1" w:styleId="ListLabel292">
    <w:name w:val="ListLabel 292"/>
    <w:qFormat/>
    <w:rPr>
      <w:color w:val="000000"/>
    </w:rPr>
  </w:style>
  <w:style w:type="character" w:customStyle="1" w:styleId="ListLabel293">
    <w:name w:val="ListLabel 293"/>
    <w:qFormat/>
    <w:rPr>
      <w:color w:val="000000"/>
    </w:rPr>
  </w:style>
  <w:style w:type="character" w:customStyle="1" w:styleId="ListLabel294">
    <w:name w:val="ListLabel 294"/>
    <w:qFormat/>
    <w:rPr>
      <w:color w:val="000000"/>
    </w:rPr>
  </w:style>
  <w:style w:type="character" w:customStyle="1" w:styleId="ListLabel295">
    <w:name w:val="ListLabel 295"/>
    <w:qFormat/>
    <w:rPr>
      <w:color w:val="000000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  <w:szCs w:val="24"/>
    </w:rPr>
  </w:style>
  <w:style w:type="character" w:customStyle="1" w:styleId="ListLabel297">
    <w:name w:val="ListLabel 297"/>
    <w:qFormat/>
    <w:rPr>
      <w:sz w:val="24"/>
      <w:szCs w:val="24"/>
    </w:rPr>
  </w:style>
  <w:style w:type="character" w:customStyle="1" w:styleId="ListLabel298">
    <w:name w:val="ListLabel 298"/>
    <w:qFormat/>
    <w:rPr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jc w:val="center"/>
    </w:pPr>
    <w:rPr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pPr>
      <w:ind w:firstLine="708"/>
      <w:jc w:val="both"/>
    </w:pPr>
    <w:rPr>
      <w:sz w:val="22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qFormat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e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Cs w:val="20"/>
      <w:lang w:eastAsia="ru-RU"/>
    </w:rPr>
  </w:style>
  <w:style w:type="paragraph" w:styleId="af">
    <w:name w:val="No Spacing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12">
    <w:name w:val="Без интервала1"/>
    <w:qFormat/>
    <w:rPr>
      <w:rFonts w:ascii="Times New Roman" w:hAnsi="Times New Roman" w:cs="Times New Roman"/>
      <w:color w:val="00000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af0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paragraph" w:styleId="af3">
    <w:name w:val="Balloon Text"/>
    <w:basedOn w:val="a"/>
    <w:link w:val="af4"/>
    <w:uiPriority w:val="99"/>
    <w:semiHidden/>
    <w:unhideWhenUsed/>
    <w:rsid w:val="001E03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363"/>
    <w:rPr>
      <w:rFonts w:ascii="Tahoma" w:eastAsia="Times New Roman" w:hAnsi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34EsCC4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F625AD85D2B345EC666D9FC4CF5D3AAEE994FB927D112B3F4619F8B85FFA58CBB4AD7247sCC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625AD85D2B345EC666D9FC4CF5D3AAEE994FB927D112B3F4619F8B85FFA58CBB4AD7246sCCFO" TargetMode="External"/><Relationship Id="rId11" Type="http://schemas.openxmlformats.org/officeDocument/2006/relationships/hyperlink" Target="http://new.ivanteevka.sarm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ivanteevka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ivanteev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12</Pages>
  <Words>5455</Words>
  <Characters>31095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95</cp:revision>
  <cp:lastPrinted>2019-04-26T09:49:00Z</cp:lastPrinted>
  <dcterms:created xsi:type="dcterms:W3CDTF">2016-09-30T10:37:00Z</dcterms:created>
  <dcterms:modified xsi:type="dcterms:W3CDTF">2019-04-29T09:42:00Z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