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9C" w:rsidRP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4109C" w:rsidRP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</w:rPr>
        <w:t xml:space="preserve">БАРТЕНЕВСКОГО  МУНИЦИПАЛЬНОГО ОБРАЗОВАНИЯ </w:t>
      </w:r>
      <w:r w:rsidRPr="0044109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44109C" w:rsidRP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44109C" w:rsidRP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44109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15</w:t>
      </w:r>
    </w:p>
    <w:p w:rsidR="0044109C" w:rsidRP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1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4410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441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 Бартеневка</w:t>
      </w:r>
    </w:p>
    <w:p w:rsidR="0044109C" w:rsidRP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09C" w:rsidRPr="0044109C" w:rsidRDefault="0044109C" w:rsidP="0044109C">
      <w:pPr>
        <w:pStyle w:val="s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44109C">
        <w:rPr>
          <w:b/>
          <w:bCs/>
          <w:color w:val="000000"/>
          <w:sz w:val="28"/>
          <w:szCs w:val="28"/>
        </w:rPr>
        <w:t>«Об утверждении методики прогнозирования</w:t>
      </w:r>
    </w:p>
    <w:p w:rsidR="0044109C" w:rsidRPr="0044109C" w:rsidRDefault="0044109C" w:rsidP="0044109C">
      <w:pPr>
        <w:pStyle w:val="s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44109C">
        <w:rPr>
          <w:b/>
          <w:bCs/>
          <w:color w:val="000000"/>
          <w:sz w:val="28"/>
          <w:szCs w:val="28"/>
        </w:rPr>
        <w:t xml:space="preserve"> поступлений доходов в бюджет  </w:t>
      </w:r>
    </w:p>
    <w:p w:rsidR="0044109C" w:rsidRPr="0044109C" w:rsidRDefault="0044109C" w:rsidP="0044109C">
      <w:pPr>
        <w:pStyle w:val="s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44109C">
        <w:rPr>
          <w:b/>
          <w:bCs/>
          <w:color w:val="000000"/>
          <w:sz w:val="28"/>
          <w:szCs w:val="28"/>
        </w:rPr>
        <w:t xml:space="preserve">  Бартеневского муниципального образования»</w:t>
      </w:r>
    </w:p>
    <w:p w:rsidR="0044109C" w:rsidRPr="0044109C" w:rsidRDefault="0044109C" w:rsidP="0044109C">
      <w:pPr>
        <w:pStyle w:val="s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44109C" w:rsidRPr="0044109C" w:rsidRDefault="0044109C" w:rsidP="004410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 администрация Бартеневского муниципального образования </w:t>
      </w:r>
      <w:r w:rsidRPr="004410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09C" w:rsidRPr="0044109C" w:rsidRDefault="0044109C" w:rsidP="00441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доходов в бюджет Бартеневского муниципального образования, в отношении которых администрация Бартеневского муниципального образования, 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44109C" w:rsidRPr="0044109C" w:rsidRDefault="0044109C" w:rsidP="00441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 администрации Бартеневского муниципального образования от 25.11.2016года №59А «Об утверждении методики прогнозирования поступлений доходов в бюджет Бартеневского муниципального образования». </w:t>
      </w:r>
    </w:p>
    <w:p w:rsidR="0044109C" w:rsidRDefault="0044109C" w:rsidP="0044109C">
      <w:pPr>
        <w:pStyle w:val="s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информационном бюллетене «Бартеневский Вестник» и на  официальном сайте администрации Ивантеевского муниципального района.</w:t>
      </w:r>
    </w:p>
    <w:p w:rsidR="00912D9B" w:rsidRPr="0044109C" w:rsidRDefault="00912D9B" w:rsidP="0044109C">
      <w:pPr>
        <w:pStyle w:val="s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1 января 2017 года.</w:t>
      </w:r>
    </w:p>
    <w:p w:rsidR="0044109C" w:rsidRPr="0044109C" w:rsidRDefault="0044109C" w:rsidP="0044109C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4109C" w:rsidRPr="0044109C" w:rsidRDefault="0044109C" w:rsidP="0044109C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4109C" w:rsidRPr="0044109C" w:rsidRDefault="0044109C" w:rsidP="0044109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</w:rPr>
        <w:t>Глава Бартеневского</w:t>
      </w:r>
    </w:p>
    <w:p w:rsidR="0044109C" w:rsidRPr="0044109C" w:rsidRDefault="0044109C" w:rsidP="0044109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4410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10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10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10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109C">
        <w:rPr>
          <w:rFonts w:ascii="Times New Roman" w:hAnsi="Times New Roman" w:cs="Times New Roman"/>
          <w:b/>
          <w:bCs/>
          <w:sz w:val="28"/>
          <w:szCs w:val="28"/>
        </w:rPr>
        <w:tab/>
        <w:t>Р.Е.Скипа</w:t>
      </w:r>
      <w:r w:rsidRPr="0044109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109C" w:rsidRPr="0044109C" w:rsidRDefault="0044109C" w:rsidP="0044109C">
      <w:pPr>
        <w:pStyle w:val="s3"/>
        <w:spacing w:before="0" w:beforeAutospacing="0" w:after="0" w:afterAutospacing="0"/>
        <w:contextualSpacing/>
        <w:jc w:val="right"/>
        <w:rPr>
          <w:bCs/>
          <w:color w:val="000000"/>
          <w:sz w:val="28"/>
          <w:szCs w:val="28"/>
        </w:rPr>
      </w:pPr>
      <w:r w:rsidRPr="0044109C">
        <w:rPr>
          <w:sz w:val="28"/>
          <w:szCs w:val="28"/>
          <w:lang w:eastAsia="ar-SA"/>
        </w:rPr>
        <w:lastRenderedPageBreak/>
        <w:t>Приложение  к постановлению Бартеневского</w:t>
      </w:r>
    </w:p>
    <w:p w:rsidR="0044109C" w:rsidRPr="0044109C" w:rsidRDefault="0044109C" w:rsidP="0044109C">
      <w:pPr>
        <w:tabs>
          <w:tab w:val="left" w:pos="10200"/>
        </w:tabs>
        <w:suppressAutoHyphens/>
        <w:spacing w:after="0" w:line="240" w:lineRule="auto"/>
        <w:ind w:left="5040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41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44109C" w:rsidRPr="0044109C" w:rsidRDefault="0044109C" w:rsidP="0044109C">
      <w:pPr>
        <w:tabs>
          <w:tab w:val="left" w:pos="10200"/>
        </w:tabs>
        <w:suppressAutoHyphens/>
        <w:spacing w:after="0" w:line="240" w:lineRule="auto"/>
        <w:ind w:left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4109C">
        <w:rPr>
          <w:rFonts w:ascii="Times New Roman" w:hAnsi="Times New Roman" w:cs="Times New Roman"/>
          <w:sz w:val="28"/>
          <w:szCs w:val="28"/>
          <w:lang w:eastAsia="ar-SA"/>
        </w:rPr>
        <w:t xml:space="preserve">5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44109C">
        <w:rPr>
          <w:rFonts w:ascii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44109C">
        <w:rPr>
          <w:rFonts w:ascii="Times New Roman" w:hAnsi="Times New Roman" w:cs="Times New Roman"/>
          <w:sz w:val="28"/>
          <w:szCs w:val="28"/>
          <w:lang w:eastAsia="ar-SA"/>
        </w:rPr>
        <w:t xml:space="preserve">.2016года </w:t>
      </w:r>
    </w:p>
    <w:p w:rsidR="0044109C" w:rsidRPr="0044109C" w:rsidRDefault="0044109C" w:rsidP="0044109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Методика</w:t>
      </w: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прогнозирования поступлений доходов в бюджет Бартеневского муниципального образования, в отношении которых администрация Бартеневского муниципального образования осуществляет полномочия   главного администратора доходов бюджета</w:t>
      </w: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 </w:t>
      </w:r>
      <w:r w:rsidRPr="0044109C">
        <w:rPr>
          <w:bCs/>
        </w:rPr>
        <w:t xml:space="preserve">Бартеневского </w:t>
      </w:r>
      <w:r w:rsidRPr="0044109C">
        <w:t xml:space="preserve">муниципального образования осуществляет полномочия  </w:t>
      </w:r>
      <w:r w:rsidRPr="0044109C">
        <w:rPr>
          <w:bCs/>
        </w:rPr>
        <w:t>главного администратора доходов бюджета</w:t>
      </w:r>
      <w:r w:rsidRPr="0044109C">
        <w:t xml:space="preserve"> (далее – Доходы), определяет основные принципы прогнозирования доходов на очередной финансовый год.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2.Доходы подразделяются на два вида доходов: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 прогнозируемые доходы;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 непрогнозируемые, но фактически поступающие в доход бюджета муниципального образования.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3. В состав прогнозируемых доходов бюджета муниципального образования включаются доходы, которые определяются методом прямого расчета.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 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</w:t>
      </w:r>
      <w:r w:rsidR="00F64762">
        <w:t>ьных автономных учреждений) (307</w:t>
      </w:r>
      <w:r w:rsidRPr="0044109C">
        <w:t>11105035100000120)</w:t>
      </w: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</w:rPr>
        <w:t>Паи = (</w:t>
      </w:r>
      <w:proofErr w:type="spellStart"/>
      <w:r w:rsidRPr="0044109C">
        <w:rPr>
          <w:rFonts w:ascii="Times New Roman" w:hAnsi="Times New Roman" w:cs="Times New Roman"/>
          <w:b/>
          <w:bCs/>
          <w:sz w:val="28"/>
          <w:szCs w:val="28"/>
        </w:rPr>
        <w:t>Нп</w:t>
      </w:r>
      <w:proofErr w:type="spellEnd"/>
      <w:r w:rsidRPr="0044109C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proofErr w:type="spellStart"/>
      <w:r w:rsidRPr="0044109C">
        <w:rPr>
          <w:rFonts w:ascii="Times New Roman" w:hAnsi="Times New Roman" w:cs="Times New Roman"/>
          <w:b/>
          <w:bCs/>
          <w:sz w:val="28"/>
          <w:szCs w:val="28"/>
        </w:rPr>
        <w:t>Сно</w:t>
      </w:r>
      <w:r w:rsidRPr="0044109C">
        <w:rPr>
          <w:rFonts w:ascii="Times New Roman" w:hAnsi="Times New Roman" w:cs="Times New Roman"/>
          <w:b/>
          <w:bCs/>
          <w:sz w:val="28"/>
          <w:szCs w:val="28"/>
          <w:u w:val="single"/>
        </w:rPr>
        <w:t>+</w:t>
      </w:r>
      <w:proofErr w:type="spellEnd"/>
      <w:r w:rsidRPr="004410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4109C">
        <w:rPr>
          <w:rFonts w:ascii="Times New Roman" w:hAnsi="Times New Roman" w:cs="Times New Roman"/>
          <w:b/>
          <w:bCs/>
          <w:sz w:val="28"/>
          <w:szCs w:val="28"/>
        </w:rPr>
        <w:t>Вп</w:t>
      </w:r>
      <w:proofErr w:type="spellEnd"/>
      <w:proofErr w:type="gramStart"/>
      <w:r w:rsidRPr="0044109C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spellStart"/>
      <w:r w:rsidRPr="0044109C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44109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410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109C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4109C" w:rsidRPr="0044109C" w:rsidRDefault="0044109C" w:rsidP="004410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b/>
          <w:sz w:val="28"/>
          <w:szCs w:val="28"/>
        </w:rPr>
        <w:t xml:space="preserve">         Паи</w:t>
      </w:r>
      <w:r w:rsidRPr="0044109C">
        <w:rPr>
          <w:rFonts w:ascii="Times New Roman" w:hAnsi="Times New Roman" w:cs="Times New Roman"/>
          <w:sz w:val="28"/>
          <w:szCs w:val="28"/>
        </w:rPr>
        <w:t xml:space="preserve"> – прогноз поступления арендной платы за имущество;</w:t>
      </w: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09C">
        <w:rPr>
          <w:rFonts w:ascii="Times New Roman" w:hAnsi="Times New Roman" w:cs="Times New Roman"/>
          <w:b/>
          <w:bCs/>
          <w:sz w:val="28"/>
          <w:szCs w:val="28"/>
        </w:rPr>
        <w:t>Нп</w:t>
      </w:r>
      <w:proofErr w:type="spellEnd"/>
      <w:r w:rsidRPr="0044109C">
        <w:rPr>
          <w:rFonts w:ascii="Times New Roman" w:hAnsi="Times New Roman" w:cs="Times New Roman"/>
          <w:sz w:val="28"/>
          <w:szCs w:val="28"/>
        </w:rPr>
        <w:t xml:space="preserve"> - сумма начисленной арендной платы за имущество по договорам аренды на планируемый год;</w:t>
      </w: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09C">
        <w:rPr>
          <w:rFonts w:ascii="Times New Roman" w:hAnsi="Times New Roman" w:cs="Times New Roman"/>
          <w:b/>
          <w:sz w:val="28"/>
          <w:szCs w:val="28"/>
        </w:rPr>
        <w:t>Сн</w:t>
      </w:r>
      <w:proofErr w:type="gramStart"/>
      <w:r w:rsidRPr="0044109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410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109C">
        <w:rPr>
          <w:rFonts w:ascii="Times New Roman" w:hAnsi="Times New Roman" w:cs="Times New Roman"/>
          <w:sz w:val="28"/>
          <w:szCs w:val="28"/>
        </w:rPr>
        <w:t xml:space="preserve"> сумма неисполненных обязательств (недоимка) арендаторов, подлежащая поступлению в планируемом году) ;</w:t>
      </w: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09C">
        <w:rPr>
          <w:rFonts w:ascii="Times New Roman" w:hAnsi="Times New Roman" w:cs="Times New Roman"/>
          <w:b/>
          <w:bCs/>
          <w:sz w:val="28"/>
          <w:szCs w:val="28"/>
        </w:rPr>
        <w:t>Вп</w:t>
      </w:r>
      <w:proofErr w:type="spellEnd"/>
      <w:r w:rsidRPr="0044109C">
        <w:rPr>
          <w:rFonts w:ascii="Times New Roman" w:hAnsi="Times New Roman" w:cs="Times New Roman"/>
          <w:sz w:val="28"/>
          <w:szCs w:val="28"/>
        </w:rPr>
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</w:r>
    </w:p>
    <w:p w:rsidR="0044109C" w:rsidRPr="0044109C" w:rsidRDefault="0044109C" w:rsidP="004410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4109C">
        <w:rPr>
          <w:rFonts w:ascii="Times New Roman" w:hAnsi="Times New Roman" w:cs="Times New Roman"/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доходы, поступающие  в порядке возмещения расходов, понесенных в связи с эксплуатацией и</w:t>
      </w:r>
      <w:r w:rsidR="007B3E4B">
        <w:t>мущества сельских поселений (307</w:t>
      </w:r>
      <w:r w:rsidRPr="0044109C">
        <w:t>11302065100000130)</w:t>
      </w: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09C">
        <w:rPr>
          <w:rFonts w:ascii="Times New Roman" w:hAnsi="Times New Roman" w:cs="Times New Roman"/>
          <w:b/>
          <w:sz w:val="28"/>
          <w:szCs w:val="28"/>
        </w:rPr>
        <w:t>Двр=</w:t>
      </w:r>
      <w:proofErr w:type="spellEnd"/>
      <w:r w:rsidRPr="0044109C">
        <w:rPr>
          <w:rFonts w:ascii="Times New Roman" w:hAnsi="Times New Roman" w:cs="Times New Roman"/>
          <w:b/>
          <w:sz w:val="28"/>
          <w:szCs w:val="28"/>
        </w:rPr>
        <w:sym w:font="Symbol" w:char="F053"/>
      </w:r>
      <w:proofErr w:type="spellStart"/>
      <w:r w:rsidRPr="0044109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410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4109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44109C">
        <w:rPr>
          <w:rFonts w:ascii="Times New Roman" w:hAnsi="Times New Roman" w:cs="Times New Roman"/>
          <w:b/>
          <w:sz w:val="28"/>
          <w:szCs w:val="28"/>
        </w:rPr>
        <w:t>-</w:t>
      </w:r>
      <w:r w:rsidRPr="004410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 w:rsidRPr="0044109C">
        <w:rPr>
          <w:rFonts w:ascii="Times New Roman" w:hAnsi="Times New Roman" w:cs="Times New Roman"/>
          <w:b/>
          <w:sz w:val="28"/>
          <w:szCs w:val="28"/>
          <w:vertAlign w:val="subscript"/>
        </w:rPr>
        <w:t>расторг</w:t>
      </w:r>
      <w:r w:rsidRPr="0044109C">
        <w:rPr>
          <w:rFonts w:ascii="Times New Roman" w:hAnsi="Times New Roman" w:cs="Times New Roman"/>
          <w:b/>
          <w:sz w:val="28"/>
          <w:szCs w:val="28"/>
        </w:rPr>
        <w:t>+К</w:t>
      </w:r>
      <w:r w:rsidRPr="0044109C">
        <w:rPr>
          <w:rFonts w:ascii="Times New Roman" w:hAnsi="Times New Roman" w:cs="Times New Roman"/>
          <w:b/>
          <w:sz w:val="28"/>
          <w:szCs w:val="28"/>
          <w:vertAlign w:val="subscript"/>
        </w:rPr>
        <w:t>нов</w:t>
      </w:r>
      <w:r w:rsidRPr="0044109C">
        <w:rPr>
          <w:rFonts w:ascii="Times New Roman" w:hAnsi="Times New Roman" w:cs="Times New Roman"/>
          <w:b/>
          <w:sz w:val="28"/>
          <w:szCs w:val="28"/>
        </w:rPr>
        <w:t>+</w:t>
      </w:r>
      <w:proofErr w:type="gramStart"/>
      <w:r w:rsidRPr="0044109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44109C">
        <w:rPr>
          <w:rFonts w:ascii="Times New Roman" w:hAnsi="Times New Roman" w:cs="Times New Roman"/>
          <w:b/>
          <w:sz w:val="28"/>
          <w:szCs w:val="28"/>
        </w:rPr>
        <w:t>,</w:t>
      </w: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09C">
        <w:rPr>
          <w:rFonts w:ascii="Times New Roman" w:hAnsi="Times New Roman" w:cs="Times New Roman"/>
          <w:b/>
          <w:sz w:val="28"/>
          <w:szCs w:val="28"/>
        </w:rPr>
        <w:t>Двр</w:t>
      </w:r>
      <w:proofErr w:type="spellEnd"/>
      <w:r w:rsidRPr="0044109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109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4109C">
        <w:rPr>
          <w:rFonts w:ascii="Times New Roman" w:hAnsi="Times New Roman" w:cs="Times New Roman"/>
          <w:sz w:val="28"/>
          <w:szCs w:val="28"/>
        </w:rPr>
        <w:t>огноз поступлений доходов, поступающих в порядке возмещения расходов;</w:t>
      </w: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lastRenderedPageBreak/>
        <w:tab/>
        <w:t>∑</w:t>
      </w:r>
      <w:proofErr w:type="spellStart"/>
      <w:r w:rsidRPr="0044109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410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4109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44109C">
        <w:rPr>
          <w:rFonts w:ascii="Times New Roman" w:hAnsi="Times New Roman" w:cs="Times New Roman"/>
          <w:sz w:val="28"/>
          <w:szCs w:val="28"/>
        </w:rPr>
        <w:t xml:space="preserve">– размер годовых начислений по </w:t>
      </w:r>
      <w:proofErr w:type="spellStart"/>
      <w:r w:rsidRPr="0044109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4109C">
        <w:rPr>
          <w:rFonts w:ascii="Times New Roman" w:hAnsi="Times New Roman" w:cs="Times New Roman"/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ab/>
      </w:r>
      <w:r w:rsidRPr="0044109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4109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расторг </w:t>
      </w:r>
      <w:r w:rsidRPr="0044109C">
        <w:rPr>
          <w:rFonts w:ascii="Times New Roman" w:hAnsi="Times New Roman" w:cs="Times New Roman"/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09C">
        <w:rPr>
          <w:rFonts w:ascii="Times New Roman" w:hAnsi="Times New Roman" w:cs="Times New Roman"/>
          <w:b/>
          <w:sz w:val="28"/>
          <w:szCs w:val="28"/>
        </w:rPr>
        <w:t>К</w:t>
      </w:r>
      <w:r w:rsidRPr="0044109C">
        <w:rPr>
          <w:rFonts w:ascii="Times New Roman" w:hAnsi="Times New Roman" w:cs="Times New Roman"/>
          <w:b/>
          <w:sz w:val="28"/>
          <w:szCs w:val="28"/>
          <w:vertAlign w:val="subscript"/>
        </w:rPr>
        <w:t>нов</w:t>
      </w:r>
      <w:proofErr w:type="spellEnd"/>
      <w:r w:rsidRPr="0044109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109C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44109C">
        <w:rPr>
          <w:rFonts w:ascii="Times New Roman" w:hAnsi="Times New Roman" w:cs="Times New Roman"/>
          <w:sz w:val="28"/>
          <w:szCs w:val="28"/>
        </w:rPr>
        <w:t>змер годовых начислений по планируемым к заключению договорам на возмещение расходов по оплате коммунальных услуг;</w:t>
      </w:r>
    </w:p>
    <w:p w:rsidR="0044109C" w:rsidRPr="0044109C" w:rsidRDefault="0044109C" w:rsidP="00441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109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4109C">
        <w:rPr>
          <w:rFonts w:ascii="Times New Roman" w:hAnsi="Times New Roman" w:cs="Times New Roman"/>
          <w:sz w:val="28"/>
          <w:szCs w:val="28"/>
        </w:rPr>
        <w:t xml:space="preserve"> – размер прогнозируемого погашения задолженности.</w:t>
      </w:r>
    </w:p>
    <w:p w:rsidR="0044109C" w:rsidRPr="007B3E4B" w:rsidRDefault="0044109C" w:rsidP="0044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E4B">
        <w:rPr>
          <w:rFonts w:ascii="Times New Roman" w:hAnsi="Times New Roman" w:cs="Times New Roman"/>
          <w:color w:val="FF0000"/>
          <w:sz w:val="28"/>
          <w:szCs w:val="28"/>
        </w:rPr>
        <w:t>4. 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 w:rsidR="0044109C" w:rsidRPr="007B3E4B" w:rsidRDefault="0044109C" w:rsidP="0044109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7B3E4B">
        <w:rPr>
          <w:rFonts w:ascii="Times New Roman" w:hAnsi="Times New Roman" w:cs="Times New Roman"/>
          <w:color w:val="FF0000"/>
          <w:sz w:val="28"/>
          <w:szCs w:val="28"/>
        </w:rPr>
        <w:t>К межбюджетным трансфертам относятся:</w:t>
      </w:r>
    </w:p>
    <w:p w:rsidR="0044109C" w:rsidRPr="007B3E4B" w:rsidRDefault="0044109C" w:rsidP="0044109C">
      <w:pPr>
        <w:spacing w:after="0" w:line="240" w:lineRule="auto"/>
        <w:contextualSpacing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7B3E4B">
        <w:rPr>
          <w:rFonts w:ascii="Times New Roman" w:hAnsi="Times New Roman" w:cs="Times New Roman"/>
          <w:color w:val="FF0000"/>
          <w:sz w:val="28"/>
          <w:szCs w:val="28"/>
        </w:rPr>
        <w:t xml:space="preserve">          -</w:t>
      </w:r>
      <w:r w:rsidRPr="007B3E4B">
        <w:rPr>
          <w:rFonts w:ascii="Times New Roman" w:hAnsi="Times New Roman" w:cs="Times New Roman"/>
          <w:snapToGrid w:val="0"/>
          <w:color w:val="FF0000"/>
          <w:sz w:val="28"/>
          <w:szCs w:val="28"/>
        </w:rPr>
        <w:t>дотации бюджетам сельских поселений на выравнивание бюджетной обеспеченности   из  областного бюджета финансовой поддержки поселений</w:t>
      </w:r>
      <w:r w:rsidRPr="007B3E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7B3E4B" w:rsidRPr="007B3E4B">
        <w:rPr>
          <w:rFonts w:ascii="Times New Roman" w:hAnsi="Times New Roman" w:cs="Times New Roman"/>
          <w:snapToGrid w:val="0"/>
          <w:color w:val="FF0000"/>
          <w:sz w:val="28"/>
          <w:szCs w:val="28"/>
        </w:rPr>
        <w:t>307</w:t>
      </w:r>
      <w:r w:rsidR="007B3E4B">
        <w:rPr>
          <w:rFonts w:ascii="Times New Roman" w:hAnsi="Times New Roman" w:cs="Times New Roman"/>
          <w:snapToGrid w:val="0"/>
          <w:color w:val="FF0000"/>
          <w:sz w:val="28"/>
          <w:szCs w:val="28"/>
        </w:rPr>
        <w:t>20215001100001151)</w:t>
      </w:r>
      <w:r w:rsidRPr="007B3E4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4109C" w:rsidRPr="007B3E4B" w:rsidRDefault="0044109C" w:rsidP="0044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E4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7B3E4B">
        <w:rPr>
          <w:rFonts w:ascii="Times New Roman" w:hAnsi="Times New Roman" w:cs="Times New Roman"/>
          <w:snapToGrid w:val="0"/>
          <w:color w:val="FF0000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7B3E4B" w:rsidRPr="007B3E4B">
        <w:rPr>
          <w:rFonts w:ascii="Times New Roman" w:hAnsi="Times New Roman" w:cs="Times New Roman"/>
          <w:color w:val="FF0000"/>
          <w:sz w:val="28"/>
          <w:szCs w:val="28"/>
        </w:rPr>
        <w:t xml:space="preserve"> (307</w:t>
      </w:r>
      <w:r w:rsidRPr="007B3E4B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7B3E4B">
        <w:rPr>
          <w:rFonts w:ascii="Times New Roman" w:hAnsi="Times New Roman" w:cs="Times New Roman"/>
          <w:color w:val="FF0000"/>
          <w:sz w:val="28"/>
          <w:szCs w:val="28"/>
        </w:rPr>
        <w:t>351181</w:t>
      </w:r>
      <w:r w:rsidR="00E4086C">
        <w:rPr>
          <w:rFonts w:ascii="Times New Roman" w:hAnsi="Times New Roman" w:cs="Times New Roman"/>
          <w:color w:val="FF0000"/>
          <w:sz w:val="28"/>
          <w:szCs w:val="28"/>
        </w:rPr>
        <w:t>00000151)</w:t>
      </w:r>
      <w:r w:rsidRPr="007B3E4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4109C" w:rsidRPr="0044109C" w:rsidRDefault="0044109C" w:rsidP="0044109C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109C">
        <w:rPr>
          <w:sz w:val="28"/>
          <w:szCs w:val="28"/>
        </w:rPr>
        <w:t>5. 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указанных в пункте 4 настоящей Методики, прогнозные объемы поступлений по ним принимаются равными нулю.</w:t>
      </w:r>
    </w:p>
    <w:p w:rsidR="0044109C" w:rsidRPr="0044109C" w:rsidRDefault="0044109C" w:rsidP="0044109C">
      <w:pPr>
        <w:pStyle w:val="s1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44109C">
        <w:rPr>
          <w:sz w:val="28"/>
          <w:szCs w:val="28"/>
        </w:rPr>
        <w:t xml:space="preserve">   6. В случае</w:t>
      </w:r>
      <w:proofErr w:type="gramStart"/>
      <w:r w:rsidRPr="0044109C">
        <w:rPr>
          <w:sz w:val="28"/>
          <w:szCs w:val="28"/>
        </w:rPr>
        <w:t>,</w:t>
      </w:r>
      <w:proofErr w:type="gramEnd"/>
      <w:r w:rsidRPr="0044109C">
        <w:rPr>
          <w:sz w:val="28"/>
          <w:szCs w:val="28"/>
        </w:rPr>
        <w:t xml:space="preserve"> если в процессе доработки проекта решения  бюджета муниципального района распределение между бюджетами муниципальных образований Ивантеевского муниципального района межбюджетных трансфертов, указанных в пункте 4 настоящей Методики, изменилось, соответствующие корректировки вносятся в прогнозные объемы поступлений в бюджет муниципального образования.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7. В состав непрогнозируемым,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Pr="0044109C">
        <w:t xml:space="preserve"> ,</w:t>
      </w:r>
      <w:proofErr w:type="gramEnd"/>
      <w:r w:rsidRPr="0044109C">
        <w:t xml:space="preserve">  которые носят несистемный характер и определяются в течение соответствующего финансового года с учетом их фактического поступления.</w:t>
      </w:r>
    </w:p>
    <w:p w:rsidR="0044109C" w:rsidRPr="0044109C" w:rsidRDefault="0044109C" w:rsidP="0044109C">
      <w:pPr>
        <w:pStyle w:val="ConsPlusNormal"/>
        <w:contextualSpacing/>
        <w:jc w:val="both"/>
      </w:pPr>
      <w:r w:rsidRPr="0044109C">
        <w:t xml:space="preserve">        Прогнозные поступления по ним принимаются </w:t>
      </w:r>
      <w:proofErr w:type="gramStart"/>
      <w:r w:rsidRPr="0044109C">
        <w:t>равными</w:t>
      </w:r>
      <w:proofErr w:type="gramEnd"/>
      <w:r w:rsidRPr="0044109C">
        <w:t xml:space="preserve"> нулю.</w:t>
      </w:r>
    </w:p>
    <w:p w:rsidR="0044109C" w:rsidRPr="0044109C" w:rsidRDefault="0044109C" w:rsidP="0044109C">
      <w:pPr>
        <w:pStyle w:val="ConsPlusNormal"/>
        <w:contextualSpacing/>
        <w:jc w:val="both"/>
      </w:pPr>
      <w:r w:rsidRPr="0044109C">
        <w:t xml:space="preserve">        К непрогнозируемым, но фактически поступающим доходам в бюджет муниципального образования, относятся: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</w:t>
      </w:r>
      <w:r w:rsidR="007B3E4B">
        <w:t>шение нотариальных действий (307</w:t>
      </w:r>
      <w:r w:rsidRPr="0044109C">
        <w:t>10804020010000110);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lastRenderedPageBreak/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</w:t>
      </w:r>
      <w:r w:rsidR="007B3E4B">
        <w:t>сляемая в бюджеты поселений (307</w:t>
      </w:r>
      <w:r w:rsidRPr="0044109C">
        <w:t>10807175010000110);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- доходы от размещения временно свободных средств </w:t>
      </w:r>
      <w:r w:rsidR="007B3E4B">
        <w:t>бюджетов сельских поселений (307</w:t>
      </w:r>
      <w:r w:rsidRPr="0044109C">
        <w:t>11102033100000120);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проценты, полученные от предоставления бюджетных кредитов другим бюджетам бюджетной системы Российской Федерации на покрытие временного кассового ра</w:t>
      </w:r>
      <w:r w:rsidR="007B3E4B">
        <w:t>зрыва из бюджетов поселений (307</w:t>
      </w:r>
      <w:r w:rsidRPr="0044109C">
        <w:t>11103050102600120);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proofErr w:type="gramStart"/>
      <w:r w:rsidRPr="0044109C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</w:t>
      </w:r>
      <w:r w:rsidR="007B3E4B">
        <w:t>ых и автономных учреждений) (307</w:t>
      </w:r>
      <w:r w:rsidRPr="0044109C">
        <w:t>11105025100000120);</w:t>
      </w:r>
      <w:proofErr w:type="gramEnd"/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(31311109045100000120);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- прочие доходы от оказания платных услуг (работ) получателями средств </w:t>
      </w:r>
      <w:r w:rsidR="007B3E4B">
        <w:t>бюджетов сельских поселений (307</w:t>
      </w:r>
      <w:r w:rsidRPr="0044109C">
        <w:t>11301995100000130);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- прочие доходы от компенсации затрат </w:t>
      </w:r>
      <w:r w:rsidR="007B3E4B">
        <w:t>бюджетов сельских поселений (307</w:t>
      </w:r>
      <w:r w:rsidRPr="0044109C">
        <w:t>11302995100000130);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</w:t>
      </w:r>
      <w:r w:rsidR="007B3E4B">
        <w:t>ств по указанному имуществу (307</w:t>
      </w:r>
      <w:r w:rsidRPr="0044109C">
        <w:t>11402052100000410);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</w:t>
      </w:r>
      <w:r w:rsidR="007B3E4B">
        <w:t>сов по указанному имуществу (307</w:t>
      </w:r>
      <w:r w:rsidRPr="0044109C">
        <w:t>11402052100000440);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7B3E4B">
        <w:t>ств по указанному имуществу (307</w:t>
      </w:r>
      <w:r w:rsidRPr="0044109C">
        <w:t>11402053100000410);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</w:t>
      </w:r>
      <w:r w:rsidR="007B3E4B">
        <w:t>сов по указанному имуществу (307</w:t>
      </w:r>
      <w:r w:rsidRPr="0044109C">
        <w:t>11402053100000440);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lastRenderedPageBreak/>
        <w:t>-доходы от продажи нематериальных активов, находящихся в собст</w:t>
      </w:r>
      <w:r w:rsidR="007B3E4B">
        <w:t>венности сельских поселений (307</w:t>
      </w:r>
      <w:r w:rsidRPr="0044109C">
        <w:t>11404050100000420);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</w:t>
      </w:r>
      <w:r w:rsidR="007B3E4B">
        <w:t>ых и автономных учреждений) (307</w:t>
      </w:r>
      <w:r w:rsidRPr="0044109C">
        <w:t>11406025100000430);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-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44109C">
        <w:t>выгодоприобретателями</w:t>
      </w:r>
      <w:proofErr w:type="spellEnd"/>
      <w:r w:rsidRPr="0044109C">
        <w:t xml:space="preserve"> выступают получатели средств </w:t>
      </w:r>
      <w:r w:rsidR="007B3E4B">
        <w:t>бюджетов сельских поселений (307</w:t>
      </w:r>
      <w:r w:rsidRPr="0044109C">
        <w:t>11623051100000140);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 xml:space="preserve">- доходы от возмещения ущерба при возникновении иных страховых случаев, когда </w:t>
      </w:r>
      <w:proofErr w:type="spellStart"/>
      <w:r w:rsidRPr="0044109C">
        <w:t>выгодоприобретателями</w:t>
      </w:r>
      <w:proofErr w:type="spellEnd"/>
      <w:r w:rsidRPr="0044109C">
        <w:t xml:space="preserve"> выступают получатели средств бюджетов сельск</w:t>
      </w:r>
      <w:r w:rsidR="007B3E4B">
        <w:t>их поселений (307</w:t>
      </w:r>
      <w:r w:rsidRPr="0044109C">
        <w:t>11623052100000140);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денежные взыскания (штрафы), установленные законами субъектов Российской Федерации за несоблюдение муниципальных правовых актов, зачи</w:t>
      </w:r>
      <w:r w:rsidR="007B3E4B">
        <w:t>сляемые в бюджеты поселений (307</w:t>
      </w:r>
      <w:r w:rsidRPr="0044109C">
        <w:t>11651040020000140);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прочие поступления от денежных взысканий (штрафов) и иных сумм в возмещение ущерба, зачисляемые в</w:t>
      </w:r>
      <w:r w:rsidR="007B3E4B">
        <w:t xml:space="preserve"> бюджеты сельских поселений (307</w:t>
      </w:r>
      <w:r w:rsidRPr="0044109C">
        <w:t>11690050100000140);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невыясненные поступления, зачисляемые в</w:t>
      </w:r>
      <w:r w:rsidR="007B3E4B">
        <w:t xml:space="preserve"> бюджеты сельских поселений (307</w:t>
      </w:r>
      <w:r w:rsidRPr="0044109C">
        <w:t>11701050100000180);</w:t>
      </w:r>
    </w:p>
    <w:p w:rsidR="0044109C" w:rsidRPr="0044109C" w:rsidRDefault="0044109C" w:rsidP="0044109C">
      <w:pPr>
        <w:pStyle w:val="ConsPlusNormal"/>
        <w:ind w:firstLine="540"/>
        <w:contextualSpacing/>
        <w:jc w:val="both"/>
      </w:pPr>
      <w:r w:rsidRPr="0044109C">
        <w:t>- прочие неналоговые доходы бюджетов сельски</w:t>
      </w:r>
      <w:r w:rsidR="007B3E4B">
        <w:t>х поселений (307</w:t>
      </w:r>
      <w:r w:rsidRPr="0044109C">
        <w:t>11705050100000180);</w:t>
      </w:r>
    </w:p>
    <w:p w:rsidR="0044109C" w:rsidRDefault="0044109C" w:rsidP="0044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C">
        <w:rPr>
          <w:rFonts w:ascii="Times New Roman" w:hAnsi="Times New Roman" w:cs="Times New Roman"/>
          <w:sz w:val="28"/>
          <w:szCs w:val="28"/>
        </w:rPr>
        <w:t>- прочие безвозмездные поступления в</w:t>
      </w:r>
      <w:r w:rsidR="007B3E4B">
        <w:rPr>
          <w:rFonts w:ascii="Times New Roman" w:hAnsi="Times New Roman" w:cs="Times New Roman"/>
          <w:sz w:val="28"/>
          <w:szCs w:val="28"/>
        </w:rPr>
        <w:t xml:space="preserve"> бюджеты сельских поселений (307</w:t>
      </w:r>
      <w:r w:rsidRPr="0044109C">
        <w:rPr>
          <w:rFonts w:ascii="Times New Roman" w:hAnsi="Times New Roman" w:cs="Times New Roman"/>
          <w:sz w:val="28"/>
          <w:szCs w:val="28"/>
        </w:rPr>
        <w:t>20705030100000180);</w:t>
      </w:r>
    </w:p>
    <w:p w:rsidR="007B3E4B" w:rsidRPr="007B3E4B" w:rsidRDefault="007B3E4B" w:rsidP="0044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E4B">
        <w:rPr>
          <w:rFonts w:ascii="Times New Roman" w:hAnsi="Times New Roman" w:cs="Times New Roman"/>
          <w:color w:val="FF0000"/>
          <w:sz w:val="28"/>
          <w:szCs w:val="28"/>
        </w:rPr>
        <w:t>- возврат остатков субсидий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7B3E4B">
        <w:rPr>
          <w:rFonts w:ascii="Times New Roman" w:hAnsi="Times New Roman" w:cs="Times New Roman"/>
          <w:color w:val="FF0000"/>
          <w:sz w:val="28"/>
          <w:szCs w:val="28"/>
        </w:rPr>
        <w:t>субвенций и иных  межбюджетных трансфертов, имеющих целевое назначение, прошлых лет  из бюджетов сельских поселений  (30721900000100000151).</w:t>
      </w:r>
    </w:p>
    <w:sectPr w:rsidR="007B3E4B" w:rsidRPr="007B3E4B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09C"/>
    <w:rsid w:val="001E08FC"/>
    <w:rsid w:val="0044109C"/>
    <w:rsid w:val="006658D9"/>
    <w:rsid w:val="007B3E4B"/>
    <w:rsid w:val="007D3418"/>
    <w:rsid w:val="00912D9B"/>
    <w:rsid w:val="00B15BE6"/>
    <w:rsid w:val="00CF63F8"/>
    <w:rsid w:val="00E4086C"/>
    <w:rsid w:val="00F6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44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44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41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41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66E3-B58F-4C3C-BBFF-2EEE7F11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2017-06-20T07:47:00Z</dcterms:created>
  <dcterms:modified xsi:type="dcterms:W3CDTF">2017-06-21T06:12:00Z</dcterms:modified>
</cp:coreProperties>
</file>