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 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.12.2019г     </w:t>
        <w:tab/>
        <w:tab/>
        <w:t xml:space="preserve">     №  37</w:t>
        <w:tab/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«О порядке </w:t>
      </w:r>
      <w:bookmarkStart w:id="0" w:name="__DdeLink__282_4107804279"/>
      <w:r>
        <w:rPr>
          <w:rFonts w:ascii="Times New Roman" w:hAnsi="Times New Roman"/>
          <w:b/>
          <w:bCs/>
          <w:sz w:val="28"/>
          <w:szCs w:val="28"/>
        </w:rPr>
        <w:t>осуществления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оценки налоговых расходов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Николаевского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Ивантеевского муниципального района Саратовской области»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администрация Николаевского муниципального образования Ивантеевского муниципального района Саратовской области ПОСТАНОВЛЯЕТ: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</w:rPr>
        <w:t>1. Утвердить прилаг</w:t>
      </w:r>
      <w:r>
        <w:rPr>
          <w:rFonts w:ascii="Times New Roman" w:hAnsi="Times New Roman"/>
          <w:b w:val="false"/>
          <w:bCs w:val="false"/>
          <w:sz w:val="28"/>
          <w:szCs w:val="28"/>
        </w:rPr>
        <w:t>аемое Положение «О</w:t>
      </w:r>
      <w:r>
        <w:rPr>
          <w:rFonts w:ascii="Times New Roman" w:hAnsi="Times New Roman"/>
          <w:sz w:val="28"/>
          <w:szCs w:val="28"/>
        </w:rPr>
        <w:t xml:space="preserve"> порядке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оценки налоговых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области».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88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Настоящее постановление вступает в силу 01.01.2020 года. </w:t>
      </w:r>
    </w:p>
    <w:p>
      <w:pPr>
        <w:pStyle w:val="Style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1" w:name="__DdeLink__13257_2446968708"/>
      <w:bookmarkEnd w:id="1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="0" w:after="1"/>
        <w:jc w:val="right"/>
        <w:rPr/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>
      <w:pPr>
        <w:pStyle w:val="Normal"/>
        <w:spacing w:lineRule="atLeast" w:line="240" w:before="0" w:after="1"/>
        <w:jc w:val="right"/>
        <w:rPr/>
      </w:pPr>
      <w:r>
        <w:rPr>
          <w:rFonts w:ascii="Times New Roman" w:hAnsi="Times New Roman"/>
          <w:sz w:val="28"/>
          <w:szCs w:val="24"/>
        </w:rPr>
        <w:t xml:space="preserve">администрации </w:t>
      </w:r>
      <w:bookmarkStart w:id="2" w:name="__DdeLink__2481_2873961396"/>
      <w:bookmarkStart w:id="3" w:name="__DdeLink__1307_3748050704"/>
      <w:bookmarkEnd w:id="3"/>
      <w:r>
        <w:rPr>
          <w:rFonts w:ascii="Times New Roman" w:hAnsi="Times New Roman"/>
          <w:sz w:val="28"/>
          <w:szCs w:val="24"/>
        </w:rPr>
        <w:t>Николаевского</w:t>
      </w:r>
      <w:bookmarkEnd w:id="2"/>
      <w:r>
        <w:rPr>
          <w:rFonts w:ascii="Times New Roman" w:hAnsi="Times New Roman"/>
          <w:sz w:val="28"/>
          <w:szCs w:val="24"/>
        </w:rPr>
        <w:t xml:space="preserve"> </w:t>
      </w:r>
    </w:p>
    <w:p>
      <w:pPr>
        <w:pStyle w:val="Normal"/>
        <w:spacing w:lineRule="atLeast" w:line="240" w:before="0" w:after="1"/>
        <w:jc w:val="right"/>
        <w:rPr/>
      </w:pPr>
      <w:r>
        <w:rPr>
          <w:rFonts w:ascii="Times New Roman" w:hAnsi="Times New Roman"/>
          <w:sz w:val="28"/>
          <w:szCs w:val="24"/>
        </w:rPr>
        <w:t xml:space="preserve">муниципального  образования </w:t>
      </w:r>
    </w:p>
    <w:p>
      <w:pPr>
        <w:pStyle w:val="Normal"/>
        <w:spacing w:lineRule="atLeast" w:line="240" w:before="0" w:after="1"/>
        <w:ind w:left="4956" w:hanging="0"/>
        <w:jc w:val="right"/>
        <w:rPr/>
      </w:pPr>
      <w:r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.12.2019 № 37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порядке </w:t>
      </w:r>
      <w:r>
        <w:rPr>
          <w:rFonts w:ascii="Times New Roman" w:hAnsi="Times New Roman"/>
          <w:b/>
          <w:bCs/>
          <w:sz w:val="28"/>
          <w:szCs w:val="28"/>
        </w:rPr>
        <w:t>осуществления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оценки налоговых расходов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Николаевского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Ивантеевского муниципального района Саратовской области»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и критерии оценки налоговых расходов </w:t>
      </w:r>
      <w:r>
        <w:rPr>
          <w:rFonts w:ascii="Times New Roman" w:hAnsi="Times New Roman"/>
          <w:sz w:val="28"/>
          <w:szCs w:val="24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(далее – муниципальное образование, налоговый расход), состав исполнителей, их взаимодействие, а также требования к реализации результатов оценки.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 Понятия, используемые в настоящем Положение, применяются в том значении, в котором они определены Бюджетным кодексом Российской Федерации, постановлением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3.Отнесение налоговых расходов к муниципальным программам </w:t>
      </w:r>
      <w:r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осуществляется исходя из целей муниципальных программ, структурных элементов муниципальных программ </w:t>
      </w:r>
      <w:r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и (или) целей социально-экономической политики муниципального образования, не относящихся к муниципальным программам.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pacing w:val="-4"/>
          <w:sz w:val="28"/>
          <w:szCs w:val="28"/>
        </w:rPr>
        <w:t>4.Оценка налоговых расходов производится по перечню налоговых расходов муниципального образования.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5.В целях проведения оценки налоговых расходов муниципального образования: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а) финансовый орган муниципального образования до 1 февраля направляет в Межрайонную инспекцию федеральной налоговой службы № 6 по Саратовской области (далее – ИФНС России №6 по Саратовской области) сведения  о категории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приложением к постановлению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б) ИФНС России №6 по Саратовской области (по согласованию) до 1 апреля направляет в финансовый орган муниципального образования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сведения о количестве плательщиков, воспользовавшихся льготами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сведения о суммах выпадающих доходов бюджета </w:t>
      </w:r>
      <w:r>
        <w:rPr>
          <w:rFonts w:ascii="Times New Roman" w:hAnsi="Times New Roman"/>
          <w:sz w:val="28"/>
          <w:szCs w:val="24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(далее- местного бюджета) по каждому налоговому расходу;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сведения об объемах налогов, задекларированных для уплаты плательщиками в местный бюджет по каждому налоговому расходу в отношении стимулирующих налоговых расходов;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в) ИФНС России №6 по Саратовской области (по согласованию) направляет до 15 июля в финансовый орган муниципального образования сведения об объеме льгот за отчетный финансовый год, а также по стимулирующим налоговым расходам муниципального образования, установленным по налогу на имущество физических лиц и земельному налогу, сведения о налогах, задекларированных для уплаты плательщиками, имеющими право на льготы, в отчетном году;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г) финансовый орган муниципального образования до 20 августа при необходимости представляет уточненную информацию согласно постановлению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д) оценка налоговых расходов осуществляется куратором налогового расхода.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6. Оценка эффективности предоставленных (планируемых к предоставлению) налоговых расходов включает: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а) оценку целесообразности налоговых расходов;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б) оценку результативности налоговых расходов.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bookmarkStart w:id="4" w:name="Par25"/>
      <w:bookmarkEnd w:id="4"/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Критериями целесообразности предоставленных (планируемых к предоставлению) налоговых расходов являются: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соответствие налоговых расходов целям муниципальных программ муниципального образования, структурным элементам муниципальных программ </w:t>
      </w:r>
      <w:r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и (или) целям социально-экономической политики  муниципального образования, не относящимся к муниципальным программам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востребованность плательщиками предоставленных (планируемых к предоставлению) налоговых льгот.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При необходимости кураторами предоставленных (планируемых к предоставлению) налоговых расходов могут быть установлены иные критерии целесообразности предоставления льгот для плательщиков.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8. В случае несоответствия предоставленных налоговых расходов хотя бы одному из критериев, указанных в </w:t>
      </w:r>
      <w:hyperlink w:anchor="Par25">
        <w:r>
          <w:rPr>
            <w:rStyle w:val="Style8"/>
            <w:rFonts w:ascii="Times New Roman" w:hAnsi="Times New Roman"/>
            <w:sz w:val="28"/>
            <w:szCs w:val="28"/>
          </w:rPr>
          <w:t>пункте</w:t>
        </w:r>
      </w:hyperlink>
      <w:r>
        <w:rPr/>
        <w:t xml:space="preserve"> </w:t>
      </w:r>
      <w:r>
        <w:rPr>
          <w:rFonts w:ascii="Times New Roman" w:hAnsi="Times New Roman"/>
          <w:sz w:val="28"/>
          <w:szCs w:val="28"/>
        </w:rPr>
        <w:t>7 настоящего Положения, куратор налогового расхода в обязательном порядке представляет в финансовый орган муниципального образования предложения о сохранении (уточнении, отмене) льгот для плательщиков.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9. В качестве критерия результативности предоставленного (планируемого к предоставлению) налогового расхода определяется не менее одного показателя (индикатора) достижения целей муниципальной программы и (или) целей социально-экономической политики муниципального образования, либо иной показатель (индикатор), на значение которого оказывают влияние налоговые расходы.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10. Оценка результативности предоставленных (планируемых к предоставлению) налоговых расходов включает оценку бюджетной эффективности налоговых расходов.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11. В целях оценки бюджетной эффективности предоставленных (планируемых к предоставлению)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</w:t>
      </w:r>
      <w:r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на 1 рубль налоговых расходов бюджета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на 1 рубль расходов бюджета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для достижения того же показателя в случае применения альтернативных механизмов.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качестве альтернативных механизмов достижения целей муниципальных программ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 не относящихся к муниципальным программам, могут учитываться в том числе: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12. В целях оценки бюджетной эффективности предоставленных стимулирующих налоговых расходов, обусловленных льготами, по налогу на имущество физических лиц и земельному налогу наряду со сравнительным анализом, указанным в </w:t>
      </w:r>
      <w:hyperlink w:anchor="Par34">
        <w:r>
          <w:rPr>
            <w:rStyle w:val="Style8"/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рассчитывается оценка совокупного бюджетного эффекта (самоокупаемости) указанных налоговых расходов в соответствии с </w:t>
      </w:r>
      <w:hyperlink w:anchor="Par41">
        <w:r>
          <w:rPr>
            <w:rStyle w:val="Style8"/>
            <w:rFonts w:ascii="Times New Roman" w:hAnsi="Times New Roman"/>
            <w:sz w:val="28"/>
            <w:szCs w:val="28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 xml:space="preserve">3 настоящего Положения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bookmarkStart w:id="5" w:name="Par41"/>
      <w:bookmarkEnd w:id="5"/>
      <w:r>
        <w:rPr>
          <w:rFonts w:ascii="Times New Roman" w:hAnsi="Times New Roman"/>
          <w:sz w:val="28"/>
          <w:szCs w:val="28"/>
        </w:rPr>
        <w:t xml:space="preserve"> определяется отдельно по каждому налоговому расходу. 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13. Оценка совокупного бюджетного эффекта (самоокупаемости) предоставленных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drawing>
          <wp:inline distT="0" distB="0" distL="0" distR="0">
            <wp:extent cx="3037205" cy="6756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где: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i - порядковый номер года, имеющий значение от 1 до 5;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j - порядковый номер плательщика, имеющий значение от 1 до m;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pacing w:val="-4"/>
          <w:sz w:val="28"/>
          <w:szCs w:val="28"/>
        </w:rPr>
        <w:t>N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ij</w:t>
      </w:r>
      <w:r>
        <w:rPr>
          <w:rFonts w:ascii="Times New Roman" w:hAnsi="Times New Roman"/>
          <w:spacing w:val="-4"/>
          <w:sz w:val="28"/>
          <w:szCs w:val="28"/>
        </w:rPr>
        <w:t xml:space="preserve"> - объем налогов, задекларированных для уплаты в местный бюджет  j-м плательщиком в i-м году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При определении объема налогов, задекларированных для уплаты в местный бюджет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местный бюджет, оценивается (прогнозируется) куратором налогового расхода;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oj</w:t>
      </w:r>
      <w:r>
        <w:rPr>
          <w:rFonts w:ascii="Times New Roman" w:hAnsi="Times New Roman"/>
          <w:sz w:val="28"/>
          <w:szCs w:val="28"/>
        </w:rPr>
        <w:t xml:space="preserve"> - базовый объем налогов, задекларированных для уплаты в местный бюджет j-м плательщиком в базовом году;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номинальный темп прироста налоговых доходов местного бюджета </w:t>
        <w:br/>
        <w:t>в i-м году по отношению к показателям базового года.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r - расчетная стоимость среднесрочных рыночных заимствований, рассчитываемая по формуле:</w:t>
      </w:r>
    </w:p>
    <w:p>
      <w:pPr>
        <w:pStyle w:val="Normal"/>
        <w:spacing w:lineRule="auto" w:line="218" w:before="0" w:after="20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r = i</w:t>
      </w:r>
      <w:r>
        <w:rPr>
          <w:rFonts w:ascii="Times New Roman" w:hAnsi="Times New Roman"/>
          <w:sz w:val="28"/>
          <w:szCs w:val="28"/>
          <w:vertAlign w:val="subscript"/>
        </w:rPr>
        <w:t>инф</w:t>
      </w:r>
      <w:r>
        <w:rPr>
          <w:rFonts w:ascii="Times New Roman" w:hAnsi="Times New Roman"/>
          <w:sz w:val="28"/>
          <w:szCs w:val="28"/>
        </w:rPr>
        <w:t xml:space="preserve"> + p + c,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где: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инф</w:t>
      </w:r>
      <w:r>
        <w:rPr>
          <w:rFonts w:ascii="Times New Roman" w:hAnsi="Times New Roman"/>
          <w:sz w:val="28"/>
          <w:szCs w:val="28"/>
        </w:rPr>
        <w:t xml:space="preserve"> - целевой уровень инфляции (4 процента);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p - реальная процентная ставка, определяемая на уровне 2,5 процента;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c - кредитная премия за риск, рассчитываемая в зависимости от отношения муниципального долга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если указанное отношение составляет менее 50 процентов, кредитная премия за риск принимается равной 1 проценту;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если указанное отношение составляет более 100 процентов, кредитная премия за риск принимается равной 3 процентам.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14. Базовый объем налогов, задекларированных для уплаты в местный бюджет j-м плательщиком в базовом году (B</w:t>
      </w:r>
      <w:r>
        <w:rPr>
          <w:rFonts w:ascii="Times New Roman" w:hAnsi="Times New Roman"/>
          <w:sz w:val="28"/>
          <w:szCs w:val="28"/>
          <w:vertAlign w:val="subscript"/>
        </w:rPr>
        <w:t>oj</w:t>
      </w:r>
      <w:r>
        <w:rPr>
          <w:rFonts w:ascii="Times New Roman" w:hAnsi="Times New Roman"/>
          <w:sz w:val="28"/>
          <w:szCs w:val="28"/>
        </w:rPr>
        <w:t>), рассчитывается по формуле:</w:t>
      </w:r>
    </w:p>
    <w:p>
      <w:pPr>
        <w:pStyle w:val="Normal"/>
        <w:spacing w:lineRule="auto" w:line="218"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8" w:before="0" w:after="20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= N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+ L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18" w:before="0" w:after="20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где: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 j-м плательщиком в базовом году;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15. Бюджетной эффективностью планируемых к предоставлению стимулирующих налоговых расходов является увеличение объема налоговых доходов местного бюджета, которое рассчитывается через отношение прироста налоговых поступлений к объему налоговых льгот.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Налоговые расходы являются результативными при коэффициенте бюджетной эффективности большем либо равном 1: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/>
      </w:r>
      <m:oMath xmlns:m="http://schemas.openxmlformats.org/officeDocument/2006/math"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К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бэ</m:t>
            </m:r>
          </m:sub>
        </m:sSub>
        <m:r>
          <m:rPr>
            <m:lit/>
            <m:nor/>
          </m:rP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НП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t</m:t>
                </m:r>
              </m:sub>
            </m:sSub>
            <m:r>
              <m:rPr>
                <m:lit/>
                <m:nor/>
              </m:rPr>
              <w:rPr>
                <w:rFonts w:ascii="Cambria Math" w:hAnsi="Cambria Math"/>
              </w:rPr>
              <m:t xml:space="preserve">-</m:t>
            </m:r>
            <m:sSub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НП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t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-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</m:t>
                </m:r>
              </m:sub>
            </m:sSub>
          </m:num>
          <m:den>
            <m:sSub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ПБ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л</m:t>
                </m:r>
              </m:sub>
            </m:sSub>
          </m:den>
        </m:f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где</m:t>
        </m:r>
      </m:oMath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" w:ascii="Times New Roman" w:hAnsi="Times New Roman" w:eastAsiaTheme="minorEastAsia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К</w:t>
      </w:r>
      <w:r>
        <w:rPr>
          <w:rFonts w:eastAsia="Calibri" w:ascii="Times New Roman" w:hAnsi="Times New Roman" w:eastAsiaTheme="minorHAnsi"/>
          <w:sz w:val="28"/>
          <w:szCs w:val="28"/>
          <w:vertAlign w:val="subscript"/>
          <w:lang w:eastAsia="en-US"/>
        </w:rPr>
        <w:t>бэ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– коэффициент бюджетной эффективности;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НП</w:t>
      </w:r>
      <w:r>
        <w:rPr>
          <w:rFonts w:eastAsia="Calibri" w:ascii="Times New Roman" w:hAnsi="Times New Roman" w:eastAsiaTheme="minorHAnsi"/>
          <w:sz w:val="28"/>
          <w:szCs w:val="28"/>
          <w:vertAlign w:val="subscript"/>
          <w:lang w:eastAsia="en-US"/>
        </w:rPr>
        <w:t>t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– совокупный объем поступления налогов в местный бюджет в году, в котором планируется установить налоговые льготы (рублей);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НП</w:t>
      </w:r>
      <w:r>
        <w:rPr>
          <w:rFonts w:eastAsia="Calibri" w:ascii="Times New Roman" w:hAnsi="Times New Roman" w:eastAsiaTheme="minorHAnsi"/>
          <w:sz w:val="28"/>
          <w:szCs w:val="28"/>
          <w:vertAlign w:val="subscript"/>
          <w:lang w:eastAsia="en-US"/>
        </w:rPr>
        <w:t>t</w:t>
      </w:r>
      <w:r>
        <w:rPr>
          <w:rFonts w:eastAsia="MS Mincho" w:ascii="Times New Roman" w:hAnsi="Times New Roman"/>
          <w:sz w:val="28"/>
          <w:szCs w:val="28"/>
          <w:vertAlign w:val="subscript"/>
          <w:lang w:eastAsia="en-US"/>
        </w:rPr>
        <w:noBreakHyphen/>
      </w:r>
      <w:r>
        <w:rPr>
          <w:rFonts w:eastAsia="Calibri" w:ascii="Times New Roman" w:hAnsi="Times New Roman" w:eastAsiaTheme="minorHAnsi"/>
          <w:sz w:val="28"/>
          <w:szCs w:val="28"/>
          <w:vertAlign w:val="subscript"/>
          <w:lang w:eastAsia="en-US"/>
        </w:rPr>
        <w:t>1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– совокупный объем поступления налогов в местный бюджет в году, предшествующем году, в котором планируется установить налоговые льготы (рублей);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ПБ</w:t>
      </w:r>
      <w:r>
        <w:rPr>
          <w:rFonts w:eastAsia="Calibri" w:ascii="Times New Roman" w:hAnsi="Times New Roman" w:eastAsiaTheme="minorHAnsi"/>
          <w:sz w:val="28"/>
          <w:szCs w:val="28"/>
          <w:vertAlign w:val="subscript"/>
          <w:lang w:eastAsia="en-US"/>
        </w:rPr>
        <w:t>Л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– выпадающие доходы за счет налоговых льгот (рублей).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Для оценки результативности налоговых расходов используются прогнозные показатели налоговых платежей в местный бюджет.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16. По итогам проведенной оценки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муниципального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не относящихся к муниципальным программам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) альтернативных механизмов достижения целей муниципальной программы</w:t>
      </w:r>
      <w:r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муниципального </w:t>
      </w:r>
      <w:r>
        <w:rPr>
          <w:rFonts w:ascii="Times New Roman" w:hAnsi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муниципального </w:t>
      </w:r>
      <w:r>
        <w:rPr>
          <w:rFonts w:ascii="Times New Roman" w:hAnsi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17. Финансовый орган муниципального образования формирует оценку эффективности налоговых расходов на основе данных, представленных кураторами налоговых расходов.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Результаты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</w:t>
      </w:r>
      <w:r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ArialMT" w:ascii="Times New Roman" w:hAnsi="Times New Roman" w:eastAsiaTheme="minorHAnsi"/>
          <w:sz w:val="28"/>
          <w:szCs w:val="28"/>
          <w:lang w:eastAsia="en-US"/>
        </w:rPr>
        <w:t>18. Оценка планируемых к предоставлению налоговых расходов осуществляется до внесения в Совет муниципального образования, проекта решения устанавливающего налоговую льготу.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ArialMT" w:ascii="Times New Roman" w:hAnsi="Times New Roman" w:eastAsiaTheme="minorHAnsi"/>
          <w:sz w:val="28"/>
          <w:szCs w:val="28"/>
          <w:lang w:eastAsia="en-US"/>
        </w:rPr>
        <w:t>Инициатор предоставления налогового расхода направляет в орган местного самоуправления муниципального образования, осуществляющий разработку и проведение единой экономической политики муниципального образования (далее – уполномоченный орган местного самоуправления), проект решения об установлении льготы с приложением оценки эффективности налогового расхода, а также сведений (информации), использованных при осуществлении оценки.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ArialMT" w:ascii="Times New Roman" w:hAnsi="Times New Roman" w:eastAsiaTheme="minorHAnsi"/>
          <w:sz w:val="28"/>
          <w:szCs w:val="28"/>
          <w:lang w:eastAsia="en-US"/>
        </w:rPr>
        <w:t>Уполномоченный орган местного самоуправления в течение 10 рабочих дней готовит заключение об эффективности планируемого к предоставлению налогового расхода.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ArialMT" w:ascii="Times New Roman" w:hAnsi="Times New Roman" w:eastAsiaTheme="minorHAnsi"/>
          <w:sz w:val="28"/>
          <w:szCs w:val="28"/>
          <w:lang w:eastAsia="en-US"/>
        </w:rPr>
        <w:t>Указанное заключение прилагается к соответствующему проекту решения Совета муниципального образования об установлении налоговой льготы.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LibreOffice/5.4.3.2$Windows_X86_64 LibreOffice_project/92a7159f7e4af62137622921e809f8546db437e5</Application>
  <Pages>7</Pages>
  <Words>1699</Words>
  <Characters>12818</Characters>
  <CharactersWithSpaces>14517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2019-12-18T13:41:52Z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